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408F129B" w14:textId="3F0C7920" w:rsidR="00F05EC5" w:rsidRDefault="005854AF" w:rsidP="00F05EC5">
      <w:pPr>
        <w:pStyle w:val="CRCoverPage"/>
        <w:tabs>
          <w:tab w:val="end" w:pos="481.95pt"/>
        </w:tabs>
        <w:spacing w:after="0pt"/>
        <w:rPr>
          <w:rFonts w:eastAsia="SimSun" w:cs="Arial"/>
          <w:b/>
          <w:i/>
          <w:sz w:val="22"/>
          <w:szCs w:val="22"/>
          <w:lang w:val="en-US"/>
        </w:rPr>
      </w:pPr>
      <w:bookmarkStart w:id="0" w:name="_Toc193024528"/>
      <w:r>
        <w:rPr>
          <w:rFonts w:cs="Arial"/>
          <w:b/>
          <w:sz w:val="22"/>
          <w:szCs w:val="22"/>
          <w:lang w:val="en-US"/>
        </w:rPr>
        <w:t>3GPP TSG-RAN WG2 #1</w:t>
      </w:r>
      <w:r w:rsidR="00927D7B">
        <w:rPr>
          <w:rFonts w:cs="Arial"/>
          <w:b/>
          <w:sz w:val="22"/>
          <w:szCs w:val="22"/>
          <w:lang w:val="en-US"/>
        </w:rPr>
        <w:t>2</w:t>
      </w:r>
      <w:r w:rsidR="00900CC7">
        <w:rPr>
          <w:rFonts w:cs="Arial"/>
          <w:b/>
          <w:sz w:val="22"/>
          <w:szCs w:val="22"/>
          <w:lang w:val="en-US"/>
        </w:rPr>
        <w:t>1</w:t>
      </w:r>
      <w:r w:rsidR="00F05EC5">
        <w:rPr>
          <w:rFonts w:cs="Arial"/>
          <w:b/>
          <w:i/>
          <w:sz w:val="22"/>
          <w:szCs w:val="22"/>
          <w:lang w:val="en-US"/>
        </w:rPr>
        <w:tab/>
      </w:r>
      <w:r w:rsidR="0065385D" w:rsidRPr="0065385D">
        <w:rPr>
          <w:rFonts w:cs="Arial"/>
          <w:b/>
          <w:i/>
          <w:sz w:val="22"/>
          <w:szCs w:val="22"/>
          <w:lang w:val="en-US" w:eastAsia="zh-CN"/>
        </w:rPr>
        <w:t>R2-2301194</w:t>
      </w:r>
    </w:p>
    <w:p w14:paraId="4BC99AED" w14:textId="77777777" w:rsidR="00F05EC5" w:rsidRPr="00E3222D" w:rsidRDefault="00900CC7" w:rsidP="00F05EC5">
      <w:pPr>
        <w:tabs>
          <w:tab w:val="start" w:pos="99.25pt"/>
        </w:tabs>
        <w:spacing w:after="5pt" w:afterAutospacing="1"/>
        <w:jc w:val="both"/>
        <w:rPr>
          <w:rFonts w:ascii="Arial" w:hAnsi="Arial" w:cs="Arial"/>
          <w:b/>
          <w:i/>
          <w:sz w:val="22"/>
          <w:szCs w:val="22"/>
          <w:lang w:val="en-US"/>
        </w:rPr>
      </w:pPr>
      <w:r>
        <w:rPr>
          <w:rFonts w:ascii="Arial" w:hAnsi="Arial" w:cs="Arial"/>
          <w:b/>
          <w:sz w:val="22"/>
          <w:szCs w:val="22"/>
          <w:lang w:val="en-US" w:eastAsia="zh-CN"/>
        </w:rPr>
        <w:t>Athens, Greece, 27 February – 03 March 2023</w:t>
      </w:r>
      <w:r w:rsidR="00F05EC5">
        <w:rPr>
          <w:rFonts w:ascii="Arial" w:hAnsi="Arial" w:cs="Arial"/>
          <w:b/>
          <w:sz w:val="22"/>
          <w:szCs w:val="22"/>
          <w:lang w:val="en-US" w:eastAsia="zh-CN"/>
        </w:rPr>
        <w:tab/>
      </w:r>
      <w:r w:rsidR="00F05EC5">
        <w:rPr>
          <w:rFonts w:ascii="Arial" w:hAnsi="Arial" w:cs="Arial"/>
          <w:b/>
          <w:sz w:val="22"/>
          <w:szCs w:val="22"/>
          <w:lang w:val="en-US" w:eastAsia="zh-CN"/>
        </w:rPr>
        <w:tab/>
      </w:r>
      <w:r w:rsidR="00F05EC5">
        <w:rPr>
          <w:rFonts w:ascii="Arial" w:hAnsi="Arial" w:cs="Arial"/>
          <w:b/>
          <w:sz w:val="22"/>
          <w:szCs w:val="22"/>
          <w:lang w:val="en-US" w:eastAsia="zh-CN"/>
        </w:rPr>
        <w:tab/>
      </w:r>
      <w:r w:rsidR="00F05EC5">
        <w:rPr>
          <w:rFonts w:ascii="Arial" w:hAnsi="Arial" w:cs="Arial"/>
          <w:b/>
          <w:sz w:val="22"/>
          <w:szCs w:val="22"/>
          <w:lang w:val="en-US" w:eastAsia="zh-CN"/>
        </w:rPr>
        <w:tab/>
      </w:r>
      <w:r w:rsidR="00F05EC5">
        <w:rPr>
          <w:rFonts w:ascii="Arial" w:hAnsi="Arial" w:cs="Arial"/>
          <w:b/>
          <w:sz w:val="22"/>
          <w:szCs w:val="22"/>
          <w:lang w:val="en-US" w:eastAsia="zh-CN"/>
        </w:rPr>
        <w:tab/>
        <w:t xml:space="preserve"> </w:t>
      </w:r>
      <w:r w:rsidR="00F05EC5">
        <w:rPr>
          <w:rFonts w:ascii="Arial" w:hAnsi="Arial" w:cs="Arial"/>
          <w:b/>
          <w:sz w:val="22"/>
          <w:szCs w:val="22"/>
          <w:lang w:val="en-US" w:eastAsia="zh-CN"/>
        </w:rPr>
        <w:tab/>
      </w:r>
      <w:r w:rsidR="00F05EC5">
        <w:rPr>
          <w:rFonts w:ascii="Arial" w:hAnsi="Arial" w:cs="Arial"/>
          <w:b/>
          <w:sz w:val="22"/>
          <w:szCs w:val="22"/>
          <w:lang w:val="en-US" w:eastAsia="zh-CN"/>
        </w:rPr>
        <w:tab/>
      </w:r>
      <w:r w:rsidR="00E3222D">
        <w:rPr>
          <w:rFonts w:ascii="Arial" w:hAnsi="Arial" w:cs="Arial"/>
          <w:b/>
          <w:sz w:val="22"/>
          <w:szCs w:val="22"/>
          <w:lang w:val="en-US" w:eastAsia="zh-CN"/>
        </w:rPr>
        <w:tab/>
      </w:r>
      <w:r w:rsidR="00E3222D">
        <w:rPr>
          <w:rFonts w:ascii="Arial" w:hAnsi="Arial" w:cs="Arial"/>
          <w:b/>
          <w:sz w:val="22"/>
          <w:szCs w:val="22"/>
          <w:lang w:val="en-US" w:eastAsia="zh-CN"/>
        </w:rPr>
        <w:tab/>
      </w:r>
      <w:r w:rsidR="00E3222D">
        <w:rPr>
          <w:rFonts w:ascii="Arial" w:hAnsi="Arial" w:cs="Arial"/>
          <w:b/>
          <w:sz w:val="22"/>
          <w:szCs w:val="22"/>
          <w:lang w:val="en-US" w:eastAsia="zh-CN"/>
        </w:rPr>
        <w:tab/>
      </w:r>
      <w:r w:rsidR="00E3222D">
        <w:rPr>
          <w:rFonts w:ascii="Arial" w:hAnsi="Arial" w:cs="Arial"/>
          <w:b/>
          <w:sz w:val="22"/>
          <w:szCs w:val="22"/>
          <w:lang w:val="en-US" w:eastAsia="zh-CN"/>
        </w:rPr>
        <w:tab/>
      </w:r>
    </w:p>
    <w:p w14:paraId="10494F0A" w14:textId="77777777" w:rsidR="00AF7A08" w:rsidRPr="00653EAE" w:rsidRDefault="00CA63AE" w:rsidP="007A3799">
      <w:pPr>
        <w:tabs>
          <w:tab w:val="start" w:pos="99.25pt"/>
        </w:tabs>
        <w:spacing w:after="5pt" w:afterAutospacing="1"/>
        <w:jc w:val="both"/>
        <w:rPr>
          <w:rFonts w:ascii="Arial" w:hAnsi="Arial" w:cs="Arial"/>
          <w:b/>
          <w:i/>
          <w:noProof/>
          <w:sz w:val="22"/>
          <w:szCs w:val="22"/>
        </w:rPr>
      </w:pP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r>
        <w:rPr>
          <w:rFonts w:ascii="Arial" w:hAnsi="Arial" w:cs="Arial"/>
          <w:b/>
          <w:noProof/>
          <w:sz w:val="22"/>
          <w:szCs w:val="22"/>
          <w:lang w:eastAsia="zh-CN"/>
        </w:rPr>
        <w:tab/>
      </w:r>
    </w:p>
    <w:p w14:paraId="6769FD69" w14:textId="77777777" w:rsidR="008A241C" w:rsidRPr="00DB0904" w:rsidRDefault="008A241C" w:rsidP="008A241C">
      <w:pPr>
        <w:tabs>
          <w:tab w:val="start" w:pos="99.25pt"/>
        </w:tabs>
        <w:spacing w:afterLines="100" w:after="12pt"/>
        <w:rPr>
          <w:rFonts w:ascii="Arial" w:hAnsi="Arial" w:cs="Arial"/>
          <w:sz w:val="24"/>
          <w:szCs w:val="24"/>
          <w:lang w:val="en-US" w:eastAsia="zh-CN"/>
        </w:rPr>
      </w:pPr>
      <w:r w:rsidRPr="00035389">
        <w:rPr>
          <w:rFonts w:ascii="Arial" w:hAnsi="Arial" w:cs="Arial"/>
          <w:b/>
          <w:sz w:val="24"/>
          <w:szCs w:val="24"/>
          <w:lang w:val="en-US"/>
        </w:rPr>
        <w:t>Agenda item:</w:t>
      </w:r>
      <w:r w:rsidRPr="00035389">
        <w:rPr>
          <w:rFonts w:ascii="Arial" w:hAnsi="Arial" w:cs="Arial"/>
          <w:sz w:val="24"/>
          <w:szCs w:val="24"/>
          <w:lang w:val="en-US"/>
        </w:rPr>
        <w:tab/>
      </w:r>
      <w:r w:rsidR="00900CC7">
        <w:rPr>
          <w:rFonts w:ascii="Arial" w:hAnsi="Arial" w:cs="Arial"/>
          <w:sz w:val="24"/>
          <w:szCs w:val="24"/>
          <w:lang w:val="en-US"/>
        </w:rPr>
        <w:t>8.</w:t>
      </w:r>
      <w:r w:rsidR="000A5B98">
        <w:rPr>
          <w:rFonts w:ascii="Arial" w:hAnsi="Arial" w:cs="Arial"/>
          <w:sz w:val="24"/>
          <w:szCs w:val="24"/>
          <w:lang w:val="en-US"/>
        </w:rPr>
        <w:t>12.3</w:t>
      </w:r>
    </w:p>
    <w:p w14:paraId="682B899F" w14:textId="77777777" w:rsidR="008A241C" w:rsidRPr="00F57FD3" w:rsidRDefault="008A241C" w:rsidP="008A241C">
      <w:pPr>
        <w:tabs>
          <w:tab w:val="start" w:pos="99.25pt"/>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1869E3">
        <w:rPr>
          <w:rFonts w:ascii="Arial" w:hAnsi="Arial" w:cs="Arial"/>
          <w:sz w:val="24"/>
          <w:szCs w:val="24"/>
          <w:lang w:eastAsia="zh-CN"/>
        </w:rPr>
        <w:t>Samsung</w:t>
      </w:r>
    </w:p>
    <w:p w14:paraId="694B88DA" w14:textId="77777777" w:rsidR="008A241C" w:rsidRDefault="008A241C" w:rsidP="008A241C">
      <w:pPr>
        <w:tabs>
          <w:tab w:val="start" w:pos="99.25pt"/>
        </w:tabs>
        <w:spacing w:afterLines="100" w:after="12pt"/>
        <w:ind w:start="99pt" w:hanging="99pt"/>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A5B98">
        <w:rPr>
          <w:rFonts w:ascii="Arial" w:hAnsi="Arial" w:cs="Arial"/>
          <w:sz w:val="24"/>
          <w:szCs w:val="24"/>
        </w:rPr>
        <w:t>TAC handling for mIAB</w:t>
      </w:r>
    </w:p>
    <w:p w14:paraId="11CE0936" w14:textId="77777777" w:rsidR="008A241C" w:rsidRDefault="008A241C" w:rsidP="008A241C">
      <w:pPr>
        <w:tabs>
          <w:tab w:val="start" w:pos="99.25pt"/>
        </w:tabs>
        <w:spacing w:afterLines="100" w:after="12pt"/>
        <w:ind w:start="99pt" w:hanging="99pt"/>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t>Discussion</w:t>
      </w:r>
      <w:r w:rsidR="008A120A">
        <w:rPr>
          <w:rFonts w:ascii="Arial" w:hAnsi="Arial" w:cs="Arial"/>
          <w:sz w:val="24"/>
          <w:szCs w:val="24"/>
        </w:rPr>
        <w:t xml:space="preserve"> and decision</w:t>
      </w:r>
    </w:p>
    <w:p w14:paraId="28441351" w14:textId="77777777" w:rsidR="00AF580C" w:rsidRDefault="001D6936" w:rsidP="000F6864">
      <w:pPr>
        <w:pStyle w:val="Heading1"/>
        <w:overflowPunct w:val="0"/>
        <w:autoSpaceDE w:val="0"/>
        <w:autoSpaceDN w:val="0"/>
        <w:adjustRightInd w:val="0"/>
        <w:ind w:start="21.60pt" w:hanging="21.60pt"/>
        <w:jc w:val="both"/>
        <w:textAlignment w:val="baseline"/>
      </w:pPr>
      <w:r>
        <w:t>Introduction</w:t>
      </w:r>
    </w:p>
    <w:p w14:paraId="56A5D4D4" w14:textId="39763822" w:rsidR="00245A1B" w:rsidRDefault="000A5B98" w:rsidP="00C769B0">
      <w:pPr>
        <w:jc w:val="both"/>
        <w:rPr>
          <w:lang w:val="en-US" w:eastAsia="zh-CN"/>
        </w:rPr>
      </w:pPr>
      <w:r>
        <w:rPr>
          <w:lang w:val="en-US" w:eastAsia="zh-CN"/>
        </w:rPr>
        <w:t>At the RAN2#120 meeting (Toulouse, November 2022), the topic of TAC handling was singled out as a candidate for treatment at the following</w:t>
      </w:r>
      <w:r w:rsidR="005842EF">
        <w:rPr>
          <w:lang w:val="en-US" w:eastAsia="zh-CN"/>
        </w:rPr>
        <w:t xml:space="preserve"> (i.e. </w:t>
      </w:r>
      <w:r w:rsidR="00E03A0B">
        <w:rPr>
          <w:lang w:val="en-US" w:eastAsia="zh-CN"/>
        </w:rPr>
        <w:t xml:space="preserve">the ongoing </w:t>
      </w:r>
      <w:r w:rsidR="005842EF">
        <w:rPr>
          <w:lang w:val="en-US" w:eastAsia="zh-CN"/>
        </w:rPr>
        <w:t>RAN2#121)</w:t>
      </w:r>
      <w:r>
        <w:rPr>
          <w:lang w:val="en-US" w:eastAsia="zh-CN"/>
        </w:rPr>
        <w:t xml:space="preserve"> meeting. This tdoc addresses this issue </w:t>
      </w:r>
      <w:r w:rsidR="00901F7E">
        <w:rPr>
          <w:lang w:val="en-US" w:eastAsia="zh-CN"/>
        </w:rPr>
        <w:t>by</w:t>
      </w:r>
      <w:r w:rsidR="00A859E9">
        <w:rPr>
          <w:lang w:val="en-US" w:eastAsia="zh-CN"/>
        </w:rPr>
        <w:t xml:space="preserve"> identifying the key underlying problem – frequent and massive Tracking Area Updates as the mIAB node moves – and proposes sol</w:t>
      </w:r>
      <w:r w:rsidR="00B86F03">
        <w:rPr>
          <w:lang w:val="en-US" w:eastAsia="zh-CN"/>
        </w:rPr>
        <w:t>utions to alleviate the problem while bearing in mind the need to serve non mIAB enhanced UEs.</w:t>
      </w:r>
    </w:p>
    <w:p w14:paraId="32E2B104" w14:textId="77777777" w:rsidR="00B5495F" w:rsidRDefault="00901F7E" w:rsidP="00B5495F">
      <w:pPr>
        <w:pStyle w:val="Heading1"/>
        <w:rPr>
          <w:lang w:val="en-US" w:eastAsia="zh-CN"/>
        </w:rPr>
      </w:pPr>
      <w:r>
        <w:rPr>
          <w:lang w:val="en-US" w:eastAsia="zh-CN"/>
        </w:rPr>
        <w:t>Background and RAN3/SA2 latest</w:t>
      </w:r>
    </w:p>
    <w:p w14:paraId="3DADC4CA" w14:textId="0754489F" w:rsidR="00764404" w:rsidRDefault="00901F7E" w:rsidP="00901F7E">
      <w:pPr>
        <w:jc w:val="both"/>
        <w:rPr>
          <w:lang w:val="en-US" w:eastAsia="zh-CN"/>
        </w:rPr>
      </w:pPr>
      <w:r w:rsidRPr="00901F7E">
        <w:rPr>
          <w:lang w:val="en-US" w:eastAsia="zh-CN"/>
        </w:rPr>
        <w:t xml:space="preserve">A UE can in general perform </w:t>
      </w:r>
      <w:r>
        <w:rPr>
          <w:lang w:val="en-US" w:eastAsia="zh-CN"/>
        </w:rPr>
        <w:t>IDLE</w:t>
      </w:r>
      <w:r w:rsidRPr="00901F7E">
        <w:rPr>
          <w:lang w:val="en-US" w:eastAsia="zh-CN"/>
        </w:rPr>
        <w:t xml:space="preserve"> mode mobility without indicating to a new cell that it is camping on it. </w:t>
      </w:r>
      <w:r>
        <w:rPr>
          <w:lang w:val="en-US" w:eastAsia="zh-CN"/>
        </w:rPr>
        <w:t>In order for the core</w:t>
      </w:r>
      <w:r w:rsidRPr="00901F7E">
        <w:rPr>
          <w:lang w:val="en-US" w:eastAsia="zh-CN"/>
        </w:rPr>
        <w:t xml:space="preserve"> network </w:t>
      </w:r>
      <w:r>
        <w:rPr>
          <w:lang w:val="en-US" w:eastAsia="zh-CN"/>
        </w:rPr>
        <w:t xml:space="preserve">to be able </w:t>
      </w:r>
      <w:r w:rsidRPr="00901F7E">
        <w:rPr>
          <w:lang w:val="en-US" w:eastAsia="zh-CN"/>
        </w:rPr>
        <w:t xml:space="preserve">to reach a UE when it is </w:t>
      </w:r>
      <w:r>
        <w:rPr>
          <w:lang w:val="en-US" w:eastAsia="zh-CN"/>
        </w:rPr>
        <w:t xml:space="preserve">in IDLE </w:t>
      </w:r>
      <w:r w:rsidRPr="00901F7E">
        <w:rPr>
          <w:lang w:val="en-US" w:eastAsia="zh-CN"/>
        </w:rPr>
        <w:t>mode</w:t>
      </w:r>
      <w:r>
        <w:rPr>
          <w:lang w:val="en-US" w:eastAsia="zh-CN"/>
        </w:rPr>
        <w:t>,</w:t>
      </w:r>
      <w:r w:rsidRPr="00901F7E">
        <w:rPr>
          <w:lang w:val="en-US" w:eastAsia="zh-CN"/>
        </w:rPr>
        <w:t xml:space="preserve"> </w:t>
      </w:r>
      <w:r>
        <w:rPr>
          <w:lang w:val="en-US" w:eastAsia="zh-CN"/>
        </w:rPr>
        <w:t>w</w:t>
      </w:r>
      <w:r w:rsidRPr="00901F7E">
        <w:rPr>
          <w:lang w:val="en-US" w:eastAsia="zh-CN"/>
        </w:rPr>
        <w:t>henever a UE has entered a new</w:t>
      </w:r>
      <w:r>
        <w:rPr>
          <w:lang w:val="en-US" w:eastAsia="zh-CN"/>
        </w:rPr>
        <w:t xml:space="preserve"> </w:t>
      </w:r>
      <w:r w:rsidRPr="00901F7E">
        <w:rPr>
          <w:lang w:val="en-US" w:eastAsia="zh-CN"/>
        </w:rPr>
        <w:t>Tracking Area</w:t>
      </w:r>
      <w:r>
        <w:rPr>
          <w:lang w:val="en-US" w:eastAsia="zh-CN"/>
        </w:rPr>
        <w:t>, or TA</w:t>
      </w:r>
      <w:r w:rsidRPr="00901F7E">
        <w:rPr>
          <w:lang w:val="en-US" w:eastAsia="zh-CN"/>
        </w:rPr>
        <w:t>, it will be required to announce its presence using a so-called Tracking Area Update (</w:t>
      </w:r>
      <w:r>
        <w:rPr>
          <w:lang w:val="en-US" w:eastAsia="zh-CN"/>
        </w:rPr>
        <w:t xml:space="preserve">or TAU; </w:t>
      </w:r>
      <w:r w:rsidRPr="00901F7E">
        <w:rPr>
          <w:lang w:val="en-US" w:eastAsia="zh-CN"/>
        </w:rPr>
        <w:t xml:space="preserve">sometimes also referred to as mobility registration). This allows the network to be aware within which cell </w:t>
      </w:r>
      <w:r>
        <w:rPr>
          <w:lang w:val="en-US" w:eastAsia="zh-CN"/>
        </w:rPr>
        <w:t xml:space="preserve">the UE </w:t>
      </w:r>
      <w:r w:rsidRPr="00901F7E">
        <w:rPr>
          <w:lang w:val="en-US" w:eastAsia="zh-CN"/>
        </w:rPr>
        <w:t xml:space="preserve">is located </w:t>
      </w:r>
      <w:r>
        <w:rPr>
          <w:lang w:val="en-US" w:eastAsia="zh-CN"/>
        </w:rPr>
        <w:t>so that it</w:t>
      </w:r>
      <w:r w:rsidRPr="00901F7E">
        <w:rPr>
          <w:lang w:val="en-US" w:eastAsia="zh-CN"/>
        </w:rPr>
        <w:t xml:space="preserve"> remain</w:t>
      </w:r>
      <w:r>
        <w:rPr>
          <w:lang w:val="en-US" w:eastAsia="zh-CN"/>
        </w:rPr>
        <w:t>s</w:t>
      </w:r>
      <w:r w:rsidRPr="00901F7E">
        <w:rPr>
          <w:lang w:val="en-US" w:eastAsia="zh-CN"/>
        </w:rPr>
        <w:t xml:space="preserve"> reachable.</w:t>
      </w:r>
      <w:r>
        <w:rPr>
          <w:lang w:val="en-US" w:eastAsia="zh-CN"/>
        </w:rPr>
        <w:t xml:space="preserve"> </w:t>
      </w:r>
      <w:r w:rsidRPr="00901F7E">
        <w:rPr>
          <w:lang w:val="en-US" w:eastAsia="zh-CN"/>
        </w:rPr>
        <w:t>The Tracking Area Codes</w:t>
      </w:r>
      <w:r>
        <w:rPr>
          <w:lang w:val="en-US" w:eastAsia="zh-CN"/>
        </w:rPr>
        <w:t xml:space="preserve"> (TACs)</w:t>
      </w:r>
      <w:r w:rsidRPr="00901F7E">
        <w:rPr>
          <w:lang w:val="en-US" w:eastAsia="zh-CN"/>
        </w:rPr>
        <w:t xml:space="preserve"> are signal</w:t>
      </w:r>
      <w:r>
        <w:rPr>
          <w:lang w:val="en-US" w:eastAsia="zh-CN"/>
        </w:rPr>
        <w:t>l</w:t>
      </w:r>
      <w:r w:rsidRPr="00901F7E">
        <w:rPr>
          <w:lang w:val="en-US" w:eastAsia="zh-CN"/>
        </w:rPr>
        <w:t xml:space="preserve">ed </w:t>
      </w:r>
      <w:r>
        <w:rPr>
          <w:lang w:val="en-US" w:eastAsia="zh-CN"/>
        </w:rPr>
        <w:t>per</w:t>
      </w:r>
      <w:r w:rsidRPr="00901F7E">
        <w:rPr>
          <w:lang w:val="en-US" w:eastAsia="zh-CN"/>
        </w:rPr>
        <w:t xml:space="preserve"> cell</w:t>
      </w:r>
      <w:r>
        <w:rPr>
          <w:lang w:val="en-US" w:eastAsia="zh-CN"/>
        </w:rPr>
        <w:t xml:space="preserve">. </w:t>
      </w:r>
      <w:r w:rsidRPr="00901F7E">
        <w:rPr>
          <w:lang w:val="en-US" w:eastAsia="zh-CN"/>
        </w:rPr>
        <w:t>When the UE receives reads the SIB1 containing the Tracking Area, the UE will forward the Tracking Areas to upper layers (NAS), which then decide on the course of action</w:t>
      </w:r>
      <w:r w:rsidR="00894B14">
        <w:rPr>
          <w:lang w:val="en-US" w:eastAsia="zh-CN"/>
        </w:rPr>
        <w:t xml:space="preserve">. </w:t>
      </w:r>
    </w:p>
    <w:p w14:paraId="4E634728" w14:textId="7E797644" w:rsidR="00901F7E" w:rsidRDefault="00901F7E" w:rsidP="00901F7E">
      <w:pPr>
        <w:jc w:val="both"/>
        <w:rPr>
          <w:lang w:val="en-US" w:eastAsia="zh-CN"/>
        </w:rPr>
      </w:pPr>
      <w:r>
        <w:rPr>
          <w:lang w:val="en-US" w:eastAsia="zh-CN"/>
        </w:rPr>
        <w:t xml:space="preserve">In </w:t>
      </w:r>
      <w:r w:rsidRPr="00901F7E">
        <w:rPr>
          <w:lang w:val="en-US" w:eastAsia="zh-CN"/>
        </w:rPr>
        <w:t xml:space="preserve">the SA2 Technical Report </w:t>
      </w:r>
      <w:r>
        <w:rPr>
          <w:lang w:val="en-US" w:eastAsia="zh-CN"/>
        </w:rPr>
        <w:t>TR23.700-05 (v</w:t>
      </w:r>
      <w:r w:rsidRPr="00901F7E">
        <w:rPr>
          <w:lang w:val="en-US" w:eastAsia="zh-CN"/>
        </w:rPr>
        <w:t xml:space="preserve">18.0.0), </w:t>
      </w:r>
      <w:r>
        <w:rPr>
          <w:lang w:val="en-US" w:eastAsia="zh-CN"/>
        </w:rPr>
        <w:t>“</w:t>
      </w:r>
      <w:r w:rsidRPr="00901F7E">
        <w:rPr>
          <w:lang w:val="en-US" w:eastAsia="zh-CN"/>
        </w:rPr>
        <w:t>Study on architecture enhancements for vehicle-mounted relays</w:t>
      </w:r>
      <w:r>
        <w:rPr>
          <w:lang w:val="en-US" w:eastAsia="zh-CN"/>
        </w:rPr>
        <w:t>”</w:t>
      </w:r>
      <w:r w:rsidRPr="00901F7E">
        <w:rPr>
          <w:lang w:val="en-US" w:eastAsia="zh-CN"/>
        </w:rPr>
        <w:t>, the followin</w:t>
      </w:r>
      <w:r>
        <w:rPr>
          <w:lang w:val="en-US" w:eastAsia="zh-CN"/>
        </w:rPr>
        <w:t>g Key Issue is identified: “</w:t>
      </w:r>
      <w:r w:rsidRPr="00901F7E">
        <w:rPr>
          <w:lang w:val="en-US" w:eastAsia="zh-CN"/>
        </w:rPr>
        <w:t>Key Issue #3: Efficient mobility and service continuity when served by mobile base station relay</w:t>
      </w:r>
      <w:r>
        <w:rPr>
          <w:lang w:val="en-US" w:eastAsia="zh-CN"/>
        </w:rPr>
        <w:t xml:space="preserve">”. </w:t>
      </w:r>
      <w:r w:rsidRPr="00901F7E">
        <w:rPr>
          <w:lang w:val="en-US" w:eastAsia="zh-CN"/>
        </w:rPr>
        <w:t xml:space="preserve">In the </w:t>
      </w:r>
      <w:r w:rsidR="00FC3BDE" w:rsidRPr="00901F7E">
        <w:rPr>
          <w:lang w:val="en-US" w:eastAsia="zh-CN"/>
        </w:rPr>
        <w:t>conclusion,</w:t>
      </w:r>
      <w:r w:rsidRPr="00901F7E">
        <w:rPr>
          <w:lang w:val="en-US" w:eastAsia="zh-CN"/>
        </w:rPr>
        <w:t xml:space="preserve"> the following is stated</w:t>
      </w:r>
      <w:r>
        <w:rPr>
          <w:lang w:val="en-US" w:eastAsia="zh-CN"/>
        </w:rPr>
        <w:t>:</w:t>
      </w:r>
    </w:p>
    <w:p w14:paraId="51ADB833" w14:textId="77777777" w:rsidR="00901F7E" w:rsidRPr="00536277" w:rsidRDefault="00901F7E" w:rsidP="00901F7E">
      <w:pPr>
        <w:jc w:val="center"/>
        <w:rPr>
          <w:color w:val="FF0000"/>
          <w:sz w:val="24"/>
        </w:rPr>
      </w:pPr>
      <w:bookmarkStart w:id="1" w:name="_Toc112738624"/>
      <w:bookmarkStart w:id="2" w:name="_Toc122516599"/>
      <w:r w:rsidRPr="00536277">
        <w:rPr>
          <w:color w:val="FF0000"/>
          <w:sz w:val="24"/>
        </w:rPr>
        <w:t>----------------- 23.700-05, V18.0.0 -----------------</w:t>
      </w:r>
    </w:p>
    <w:p w14:paraId="1080613C" w14:textId="77777777" w:rsidR="00901F7E" w:rsidRPr="00901F7E" w:rsidRDefault="00901F7E" w:rsidP="00901F7E">
      <w:pPr>
        <w:spacing w:after="0pt"/>
        <w:rPr>
          <w:rFonts w:ascii="Arial" w:eastAsia="Batang" w:hAnsi="Arial" w:cs="Arial"/>
          <w:sz w:val="32"/>
          <w:szCs w:val="24"/>
          <w:lang w:val="en-US" w:eastAsia="ko-KR"/>
        </w:rPr>
      </w:pPr>
      <w:r w:rsidRPr="00901F7E">
        <w:rPr>
          <w:rFonts w:ascii="Arial" w:eastAsia="Batang" w:hAnsi="Arial" w:cs="Arial"/>
          <w:sz w:val="32"/>
          <w:szCs w:val="24"/>
          <w:lang w:val="en-US" w:eastAsia="ko-KR"/>
        </w:rPr>
        <w:t>8.3</w:t>
      </w:r>
      <w:r w:rsidRPr="00901F7E">
        <w:rPr>
          <w:rFonts w:ascii="Arial" w:eastAsia="Batang" w:hAnsi="Arial" w:cs="Arial"/>
          <w:sz w:val="32"/>
          <w:szCs w:val="24"/>
          <w:lang w:val="en-US" w:eastAsia="ko-KR"/>
        </w:rPr>
        <w:tab/>
        <w:t>Conclusions for KI#3</w:t>
      </w:r>
      <w:bookmarkEnd w:id="1"/>
      <w:bookmarkEnd w:id="2"/>
    </w:p>
    <w:p w14:paraId="281EF312" w14:textId="77777777" w:rsidR="00901F7E" w:rsidRPr="00901F7E" w:rsidRDefault="00901F7E" w:rsidP="00901F7E">
      <w:pPr>
        <w:spacing w:after="0pt"/>
        <w:rPr>
          <w:rFonts w:eastAsia="Batang"/>
          <w:szCs w:val="24"/>
          <w:lang w:val="en-US" w:eastAsia="ko-KR"/>
        </w:rPr>
      </w:pPr>
      <w:r w:rsidRPr="00901F7E">
        <w:rPr>
          <w:rFonts w:eastAsia="Batang"/>
          <w:szCs w:val="24"/>
          <w:lang w:val="en-US" w:eastAsia="ko-KR"/>
        </w:rPr>
        <w:t>For KI#3, the interim conclusions are as follows:</w:t>
      </w:r>
    </w:p>
    <w:p w14:paraId="465FBCD3" w14:textId="77777777" w:rsidR="00901F7E" w:rsidRPr="00901F7E" w:rsidRDefault="00901F7E" w:rsidP="00901F7E">
      <w:pPr>
        <w:overflowPunct w:val="0"/>
        <w:autoSpaceDE w:val="0"/>
        <w:autoSpaceDN w:val="0"/>
        <w:adjustRightInd w:val="0"/>
        <w:ind w:start="28.40pt" w:hanging="14.20pt"/>
        <w:textAlignment w:val="baseline"/>
        <w:rPr>
          <w:rFonts w:eastAsia="Times New Roman"/>
          <w:lang w:eastAsia="zh-TW"/>
        </w:rPr>
      </w:pPr>
      <w:r w:rsidRPr="00901F7E">
        <w:rPr>
          <w:rFonts w:eastAsia="Times New Roman"/>
          <w:lang w:eastAsia="zh-TW"/>
        </w:rPr>
        <w:t>-</w:t>
      </w:r>
      <w:r w:rsidRPr="00901F7E">
        <w:rPr>
          <w:rFonts w:eastAsia="Times New Roman"/>
          <w:lang w:eastAsia="zh-TW"/>
        </w:rPr>
        <w:tab/>
        <w:t>The UE's mobility management is performed using the legacy mechanism as defined in the TS 23.501 [2] and TS 23.502 [5]. The UE in CM-Idle shall follow legacy procedure when detecting a TAC which is not in the TA list.</w:t>
      </w:r>
    </w:p>
    <w:p w14:paraId="61DBC8D6" w14:textId="77777777" w:rsidR="00901F7E" w:rsidRPr="00901F7E" w:rsidRDefault="00901F7E" w:rsidP="00901F7E">
      <w:pPr>
        <w:overflowPunct w:val="0"/>
        <w:autoSpaceDE w:val="0"/>
        <w:autoSpaceDN w:val="0"/>
        <w:adjustRightInd w:val="0"/>
        <w:ind w:start="28.40pt" w:hanging="14.20pt"/>
        <w:textAlignment w:val="baseline"/>
        <w:rPr>
          <w:rFonts w:eastAsia="Times New Roman"/>
          <w:lang w:eastAsia="zh-TW"/>
        </w:rPr>
      </w:pPr>
      <w:r w:rsidRPr="00901F7E">
        <w:rPr>
          <w:rFonts w:eastAsia="Times New Roman"/>
          <w:lang w:eastAsia="zh-TW"/>
        </w:rPr>
        <w:t>-</w:t>
      </w:r>
      <w:r w:rsidRPr="00901F7E">
        <w:rPr>
          <w:rFonts w:eastAsia="Times New Roman"/>
          <w:lang w:eastAsia="zh-TW"/>
        </w:rPr>
        <w:tab/>
        <w:t>The TAC broadcasted by the MBSR cell(s) is configured by the Donor gNB and whether this is the same as the one of the cell of the Donor gNB serving the MBSR, or not, will be based on alignment with RAN WGs and SA2 may align specifications if SA WG2 specifications impact is identified.</w:t>
      </w:r>
    </w:p>
    <w:p w14:paraId="47B49FF2" w14:textId="77777777" w:rsidR="00901F7E" w:rsidRPr="00901F7E" w:rsidRDefault="00901F7E" w:rsidP="00901F7E">
      <w:pPr>
        <w:keepLines/>
        <w:overflowPunct w:val="0"/>
        <w:autoSpaceDE w:val="0"/>
        <w:autoSpaceDN w:val="0"/>
        <w:adjustRightInd w:val="0"/>
        <w:ind w:start="56.75pt" w:hanging="42.55pt"/>
        <w:textAlignment w:val="baseline"/>
        <w:rPr>
          <w:rFonts w:eastAsia="Times New Roman"/>
          <w:lang w:eastAsia="ja-JP"/>
        </w:rPr>
      </w:pPr>
      <w:r w:rsidRPr="00901F7E">
        <w:rPr>
          <w:rFonts w:eastAsia="Times New Roman"/>
          <w:lang w:eastAsia="ja-JP"/>
        </w:rPr>
        <w:t>NOTE:</w:t>
      </w:r>
      <w:r w:rsidRPr="00901F7E">
        <w:rPr>
          <w:rFonts w:eastAsia="Times New Roman"/>
          <w:lang w:eastAsia="ja-JP"/>
        </w:rPr>
        <w:tab/>
        <w:t>Normative work will be based on RAN decisions.</w:t>
      </w:r>
    </w:p>
    <w:p w14:paraId="7768D775" w14:textId="77777777" w:rsidR="00901F7E" w:rsidRPr="00901F7E" w:rsidRDefault="00901F7E" w:rsidP="00901F7E">
      <w:pPr>
        <w:overflowPunct w:val="0"/>
        <w:autoSpaceDE w:val="0"/>
        <w:autoSpaceDN w:val="0"/>
        <w:adjustRightInd w:val="0"/>
        <w:ind w:start="28.40pt" w:hanging="14.20pt"/>
        <w:textAlignment w:val="baseline"/>
        <w:rPr>
          <w:rFonts w:eastAsia="Times New Roman"/>
          <w:lang w:eastAsia="zh-TW"/>
        </w:rPr>
      </w:pPr>
      <w:r w:rsidRPr="00901F7E">
        <w:rPr>
          <w:rFonts w:eastAsia="Times New Roman"/>
          <w:lang w:eastAsia="zh-TW"/>
        </w:rPr>
        <w:t>-</w:t>
      </w:r>
      <w:r w:rsidRPr="00901F7E">
        <w:rPr>
          <w:rFonts w:eastAsia="Times New Roman"/>
          <w:lang w:eastAsia="zh-TW"/>
        </w:rPr>
        <w:tab/>
        <w:t>Each UE connected via the MBSR may have different serving AMFs e.g., due to slicing and individual PDU sessions/QoS service flows configured. UE context handling and path switching would be handled per each individual UE.</w:t>
      </w:r>
    </w:p>
    <w:p w14:paraId="0C1EADD3" w14:textId="77777777" w:rsidR="00901F7E" w:rsidRPr="00901F7E" w:rsidRDefault="00901F7E" w:rsidP="00901F7E">
      <w:pPr>
        <w:overflowPunct w:val="0"/>
        <w:autoSpaceDE w:val="0"/>
        <w:autoSpaceDN w:val="0"/>
        <w:adjustRightInd w:val="0"/>
        <w:ind w:start="28.40pt" w:hanging="14.20pt"/>
        <w:textAlignment w:val="baseline"/>
        <w:rPr>
          <w:rFonts w:eastAsia="Times New Roman"/>
          <w:lang w:eastAsia="zh-TW"/>
        </w:rPr>
      </w:pPr>
      <w:r w:rsidRPr="00901F7E">
        <w:rPr>
          <w:rFonts w:eastAsia="Times New Roman"/>
          <w:lang w:eastAsia="zh-TW"/>
        </w:rPr>
        <w:t>-</w:t>
      </w:r>
      <w:r w:rsidRPr="00901F7E">
        <w:rPr>
          <w:rFonts w:eastAsia="Times New Roman"/>
          <w:lang w:eastAsia="zh-TW"/>
        </w:rPr>
        <w:tab/>
        <w:t>No normative work for Group mobility of the UEs served by the MBSR. Alignment of specifications may be done only if RAN WGs decide to support this.</w:t>
      </w:r>
    </w:p>
    <w:p w14:paraId="0FFF371F" w14:textId="77777777" w:rsidR="00901F7E" w:rsidRPr="00536277" w:rsidRDefault="00901F7E" w:rsidP="00901F7E">
      <w:pPr>
        <w:jc w:val="center"/>
        <w:rPr>
          <w:color w:val="FF0000"/>
          <w:sz w:val="24"/>
        </w:rPr>
      </w:pPr>
      <w:r w:rsidRPr="00536277">
        <w:rPr>
          <w:color w:val="FF0000"/>
          <w:sz w:val="24"/>
        </w:rPr>
        <w:t>----------------- 23.700-05, V18.0.0 -----------------</w:t>
      </w:r>
    </w:p>
    <w:p w14:paraId="4CF24DF8" w14:textId="77777777" w:rsidR="00901F7E" w:rsidRDefault="00901F7E" w:rsidP="00901F7E">
      <w:pPr>
        <w:jc w:val="both"/>
        <w:rPr>
          <w:lang w:val="en-US" w:eastAsia="zh-CN"/>
        </w:rPr>
      </w:pPr>
    </w:p>
    <w:p w14:paraId="06A5F54B" w14:textId="77777777" w:rsidR="00901F7E" w:rsidRPr="00901F7E" w:rsidRDefault="00901F7E" w:rsidP="00901F7E">
      <w:pPr>
        <w:rPr>
          <w:lang w:val="en-US" w:eastAsia="zh-CN"/>
        </w:rPr>
      </w:pPr>
      <w:r>
        <w:rPr>
          <w:lang w:val="en-US" w:eastAsia="zh-CN"/>
        </w:rPr>
        <w:lastRenderedPageBreak/>
        <w:t xml:space="preserve">Additionally, </w:t>
      </w:r>
      <w:r w:rsidR="005A25CF">
        <w:rPr>
          <w:lang w:val="en-US" w:eastAsia="zh-CN"/>
        </w:rPr>
        <w:t>at</w:t>
      </w:r>
      <w:r w:rsidRPr="00901F7E">
        <w:rPr>
          <w:lang w:val="en-US" w:eastAsia="zh-CN"/>
        </w:rPr>
        <w:t xml:space="preserve"> RAN3#118 the following was agreed: </w:t>
      </w:r>
    </w:p>
    <w:p w14:paraId="27BFFBB0" w14:textId="77777777" w:rsidR="00901F7E" w:rsidRPr="005A25CF" w:rsidRDefault="00901F7E" w:rsidP="005A25CF">
      <w:pPr>
        <w:widowControl w:val="0"/>
        <w:spacing w:after="0pt"/>
        <w:rPr>
          <w:rFonts w:ascii="Calibri" w:eastAsia="Batang" w:hAnsi="Calibri" w:cs="Calibri"/>
          <w:b/>
          <w:bCs/>
          <w:color w:val="008000"/>
          <w:sz w:val="24"/>
          <w:szCs w:val="18"/>
          <w:lang w:val="en-US" w:eastAsia="ko-KR"/>
        </w:rPr>
      </w:pPr>
      <w:r w:rsidRPr="005A25CF">
        <w:rPr>
          <w:rFonts w:ascii="Calibri" w:eastAsia="Batang" w:hAnsi="Calibri" w:cs="Calibri"/>
          <w:b/>
          <w:bCs/>
          <w:color w:val="008000"/>
          <w:sz w:val="24"/>
          <w:szCs w:val="18"/>
          <w:lang w:val="en-US" w:eastAsia="ko-KR"/>
        </w:rPr>
        <w:t xml:space="preserve">Static TAC solution is not pursued. </w:t>
      </w:r>
    </w:p>
    <w:p w14:paraId="0B2766AF" w14:textId="77777777" w:rsidR="00901F7E" w:rsidRPr="005A25CF" w:rsidRDefault="00901F7E" w:rsidP="005A25CF">
      <w:pPr>
        <w:widowControl w:val="0"/>
        <w:spacing w:after="0pt"/>
        <w:rPr>
          <w:rFonts w:ascii="Calibri" w:eastAsia="Batang" w:hAnsi="Calibri" w:cs="Calibri"/>
          <w:b/>
          <w:bCs/>
          <w:color w:val="008000"/>
          <w:sz w:val="24"/>
          <w:szCs w:val="18"/>
          <w:lang w:val="en-US" w:eastAsia="ko-KR"/>
        </w:rPr>
      </w:pPr>
      <w:r w:rsidRPr="005A25CF">
        <w:rPr>
          <w:rFonts w:ascii="Calibri" w:eastAsia="Batang" w:hAnsi="Calibri" w:cs="Calibri"/>
          <w:b/>
          <w:bCs/>
          <w:color w:val="008000"/>
          <w:sz w:val="24"/>
          <w:szCs w:val="18"/>
          <w:lang w:val="en-US" w:eastAsia="ko-KR"/>
        </w:rPr>
        <w:t xml:space="preserve">RAN3 assumes that dynamic TAC solution should be supported. </w:t>
      </w:r>
    </w:p>
    <w:p w14:paraId="019AEF97" w14:textId="77777777" w:rsidR="00901F7E" w:rsidRPr="005A25CF" w:rsidRDefault="00901F7E" w:rsidP="005A25CF">
      <w:pPr>
        <w:widowControl w:val="0"/>
        <w:spacing w:after="0pt"/>
        <w:rPr>
          <w:rFonts w:ascii="Calibri" w:eastAsia="Batang" w:hAnsi="Calibri" w:cs="Calibri"/>
          <w:b/>
          <w:bCs/>
          <w:color w:val="008000"/>
          <w:sz w:val="24"/>
          <w:szCs w:val="18"/>
          <w:lang w:val="en-US" w:eastAsia="ko-KR"/>
        </w:rPr>
      </w:pPr>
      <w:r w:rsidRPr="005A25CF">
        <w:rPr>
          <w:rFonts w:ascii="Calibri" w:eastAsia="Batang" w:hAnsi="Calibri" w:cs="Calibri"/>
          <w:b/>
          <w:bCs/>
          <w:color w:val="008000"/>
          <w:sz w:val="24"/>
          <w:szCs w:val="18"/>
          <w:lang w:val="en-US" w:eastAsia="ko-KR"/>
        </w:rPr>
        <w:t xml:space="preserve">RAN3 to continue discussions on impacts (if any) of dynamic TAC solutions on RAN3 specs </w:t>
      </w:r>
    </w:p>
    <w:p w14:paraId="2FE6272F" w14:textId="77777777" w:rsidR="005A25CF" w:rsidRDefault="005A25CF" w:rsidP="00901F7E">
      <w:pPr>
        <w:rPr>
          <w:lang w:val="en-US" w:eastAsia="zh-CN"/>
        </w:rPr>
      </w:pPr>
    </w:p>
    <w:p w14:paraId="2B79F9D0" w14:textId="77777777" w:rsidR="00901F7E" w:rsidRPr="00901F7E" w:rsidRDefault="00901F7E" w:rsidP="00901F7E">
      <w:pPr>
        <w:rPr>
          <w:lang w:val="en-US" w:eastAsia="zh-CN"/>
        </w:rPr>
      </w:pPr>
      <w:r w:rsidRPr="00901F7E">
        <w:rPr>
          <w:lang w:val="en-US" w:eastAsia="zh-CN"/>
        </w:rPr>
        <w:t xml:space="preserve">The notion of a dynamic TAC as opposed to a static TAC </w:t>
      </w:r>
      <w:r w:rsidR="005A25CF">
        <w:rPr>
          <w:lang w:val="en-US" w:eastAsia="zh-CN"/>
        </w:rPr>
        <w:t>means</w:t>
      </w:r>
      <w:r w:rsidRPr="00901F7E">
        <w:rPr>
          <w:lang w:val="en-US" w:eastAsia="zh-CN"/>
        </w:rPr>
        <w:t xml:space="preserve"> that the Tracking Area can be changed for a cell and by extension </w:t>
      </w:r>
      <w:r w:rsidR="005A25CF">
        <w:rPr>
          <w:lang w:val="en-US" w:eastAsia="zh-CN"/>
        </w:rPr>
        <w:t>for th</w:t>
      </w:r>
      <w:r w:rsidRPr="00901F7E">
        <w:rPr>
          <w:lang w:val="en-US" w:eastAsia="zh-CN"/>
        </w:rPr>
        <w:t>e mobile IAB</w:t>
      </w:r>
      <w:r w:rsidR="005A25CF">
        <w:rPr>
          <w:lang w:val="en-US" w:eastAsia="zh-CN"/>
        </w:rPr>
        <w:t xml:space="preserve"> node</w:t>
      </w:r>
      <w:r w:rsidRPr="00901F7E">
        <w:rPr>
          <w:lang w:val="en-US" w:eastAsia="zh-CN"/>
        </w:rPr>
        <w:t xml:space="preserve">. The purpose of this is to ensure that the Tracking Area remains fixed </w:t>
      </w:r>
      <w:r w:rsidR="005A25CF">
        <w:rPr>
          <w:lang w:val="en-US" w:eastAsia="zh-CN"/>
        </w:rPr>
        <w:t>within a certain geographical area</w:t>
      </w:r>
      <w:r w:rsidRPr="00901F7E">
        <w:rPr>
          <w:lang w:val="en-US" w:eastAsia="zh-CN"/>
        </w:rPr>
        <w:t xml:space="preserve"> </w:t>
      </w:r>
      <w:r w:rsidR="005A25CF">
        <w:rPr>
          <w:lang w:val="en-US" w:eastAsia="zh-CN"/>
        </w:rPr>
        <w:t>as the</w:t>
      </w:r>
      <w:r w:rsidRPr="00901F7E">
        <w:rPr>
          <w:lang w:val="en-US" w:eastAsia="zh-CN"/>
        </w:rPr>
        <w:t xml:space="preserve"> mobile IAB moves </w:t>
      </w:r>
      <w:r w:rsidR="005A25CF">
        <w:rPr>
          <w:lang w:val="en-US" w:eastAsia="zh-CN"/>
        </w:rPr>
        <w:t>into it</w:t>
      </w:r>
      <w:r w:rsidRPr="00901F7E">
        <w:rPr>
          <w:lang w:val="en-US" w:eastAsia="zh-CN"/>
        </w:rPr>
        <w:t xml:space="preserve">. </w:t>
      </w:r>
      <w:r w:rsidR="005842EF">
        <w:rPr>
          <w:lang w:val="en-US" w:eastAsia="zh-CN"/>
        </w:rPr>
        <w:t>(</w:t>
      </w:r>
      <w:r w:rsidRPr="00901F7E">
        <w:rPr>
          <w:lang w:val="en-US" w:eastAsia="zh-CN"/>
        </w:rPr>
        <w:t xml:space="preserve">This is </w:t>
      </w:r>
      <w:r w:rsidR="005A25CF">
        <w:rPr>
          <w:lang w:val="en-US" w:eastAsia="zh-CN"/>
        </w:rPr>
        <w:t>in contrast</w:t>
      </w:r>
      <w:r w:rsidRPr="00901F7E">
        <w:rPr>
          <w:lang w:val="en-US" w:eastAsia="zh-CN"/>
        </w:rPr>
        <w:t xml:space="preserve"> to static TAC, where the TAC would remain </w:t>
      </w:r>
      <w:r w:rsidR="005A25CF">
        <w:rPr>
          <w:lang w:val="en-US" w:eastAsia="zh-CN"/>
        </w:rPr>
        <w:t xml:space="preserve">fixed for the mIAB node cell </w:t>
      </w:r>
      <w:r w:rsidRPr="00901F7E">
        <w:rPr>
          <w:lang w:val="en-US" w:eastAsia="zh-CN"/>
        </w:rPr>
        <w:t xml:space="preserve">as </w:t>
      </w:r>
      <w:r w:rsidR="005842EF">
        <w:rPr>
          <w:lang w:val="en-US" w:eastAsia="zh-CN"/>
        </w:rPr>
        <w:t>it moves around.)</w:t>
      </w:r>
    </w:p>
    <w:p w14:paraId="01716756" w14:textId="77777777" w:rsidR="005A25CF" w:rsidRDefault="00901F7E" w:rsidP="00901F7E">
      <w:pPr>
        <w:rPr>
          <w:lang w:val="en-US" w:eastAsia="zh-CN"/>
        </w:rPr>
      </w:pPr>
      <w:r w:rsidRPr="00901F7E">
        <w:rPr>
          <w:lang w:val="en-US" w:eastAsia="zh-CN"/>
        </w:rPr>
        <w:t>One major issue with having the TAC dynamic is that when the Tracking Area changes</w:t>
      </w:r>
      <w:r w:rsidR="005A25CF">
        <w:rPr>
          <w:lang w:val="en-US" w:eastAsia="zh-CN"/>
        </w:rPr>
        <w:t xml:space="preserve"> as the mIA</w:t>
      </w:r>
      <w:r w:rsidR="00603863">
        <w:rPr>
          <w:lang w:val="en-US" w:eastAsia="zh-CN"/>
        </w:rPr>
        <w:t>B</w:t>
      </w:r>
      <w:r w:rsidR="005A25CF">
        <w:rPr>
          <w:lang w:val="en-US" w:eastAsia="zh-CN"/>
        </w:rPr>
        <w:t xml:space="preserve"> node moves</w:t>
      </w:r>
      <w:r w:rsidRPr="00901F7E">
        <w:rPr>
          <w:lang w:val="en-US" w:eastAsia="zh-CN"/>
        </w:rPr>
        <w:t xml:space="preserve">, the UEs all have to perform </w:t>
      </w:r>
      <w:r w:rsidR="005A25CF">
        <w:rPr>
          <w:lang w:val="en-US" w:eastAsia="zh-CN"/>
        </w:rPr>
        <w:t>TAUs</w:t>
      </w:r>
      <w:r w:rsidRPr="00901F7E">
        <w:rPr>
          <w:lang w:val="en-US" w:eastAsia="zh-CN"/>
        </w:rPr>
        <w:t xml:space="preserve"> at the same time when the cell changes its Tracking Area as the network is attempting to keep the Tracking Area fixed</w:t>
      </w:r>
      <w:r w:rsidR="005A25CF">
        <w:rPr>
          <w:lang w:val="en-US" w:eastAsia="zh-CN"/>
        </w:rPr>
        <w:t xml:space="preserve"> within a given geographical area</w:t>
      </w:r>
      <w:r w:rsidRPr="00901F7E">
        <w:rPr>
          <w:lang w:val="en-US" w:eastAsia="zh-CN"/>
        </w:rPr>
        <w:t xml:space="preserve">. This might be challenging for a network to handle, causing core network congestion and potentially loss of service. An example of this problem can be seen in Figure </w:t>
      </w:r>
      <w:r w:rsidR="005A25CF">
        <w:rPr>
          <w:lang w:val="en-US" w:eastAsia="zh-CN"/>
        </w:rPr>
        <w:t>1:</w:t>
      </w:r>
    </w:p>
    <w:p w14:paraId="76960400" w14:textId="4BB680A4" w:rsidR="00901F7E" w:rsidRPr="00901F7E" w:rsidRDefault="000776F4" w:rsidP="007C4BED">
      <w:pPr>
        <w:jc w:val="center"/>
        <w:rPr>
          <w:lang w:val="en-US" w:eastAsia="zh-CN"/>
        </w:rPr>
      </w:pPr>
      <w:r>
        <w:rPr>
          <w:noProof/>
          <w:sz w:val="24"/>
          <w:lang w:eastAsia="en-GB"/>
        </w:rPr>
        <w:drawing>
          <wp:inline distT="0" distB="0" distL="0" distR="0" wp14:anchorId="6EA2EDCC" wp14:editId="09137D31">
            <wp:extent cx="4508500" cy="3232150"/>
            <wp:effectExtent l="0" t="0" r="0" b="0"/>
            <wp:docPr id="1" name="Picture 1" descr="Fig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Fig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8500" cy="3232150"/>
                    </a:xfrm>
                    <a:prstGeom prst="rect">
                      <a:avLst/>
                    </a:prstGeom>
                    <a:noFill/>
                    <a:ln>
                      <a:noFill/>
                    </a:ln>
                  </pic:spPr>
                </pic:pic>
              </a:graphicData>
            </a:graphic>
          </wp:inline>
        </w:drawing>
      </w:r>
    </w:p>
    <w:p w14:paraId="74246D92" w14:textId="77777777" w:rsidR="00901F7E" w:rsidRDefault="005A25CF" w:rsidP="005A25CF">
      <w:pPr>
        <w:jc w:val="center"/>
        <w:rPr>
          <w:lang w:val="en-US" w:eastAsia="zh-CN"/>
        </w:rPr>
      </w:pPr>
      <w:r>
        <w:rPr>
          <w:lang w:val="en-US" w:eastAsia="zh-CN"/>
        </w:rPr>
        <w:t>Figure 1</w:t>
      </w:r>
    </w:p>
    <w:p w14:paraId="5D80773F" w14:textId="77777777" w:rsidR="00FC3BDE" w:rsidRDefault="00FC3BDE" w:rsidP="00603863">
      <w:pPr>
        <w:rPr>
          <w:lang w:val="en-US" w:eastAsia="zh-CN"/>
        </w:rPr>
      </w:pPr>
    </w:p>
    <w:p w14:paraId="246B92FD" w14:textId="4772AE30" w:rsidR="00FC3BDE" w:rsidRPr="00517561" w:rsidRDefault="00FC3BDE" w:rsidP="00FC3BDE">
      <w:pPr>
        <w:pStyle w:val="Observation"/>
        <w:rPr>
          <w:rFonts w:ascii="Times New Roman" w:hAnsi="Times New Roman"/>
          <w:lang w:val="en-US"/>
        </w:rPr>
      </w:pPr>
      <w:r w:rsidRPr="00FC3BDE">
        <w:rPr>
          <w:rFonts w:ascii="Times New Roman" w:hAnsi="Times New Roman"/>
          <w:lang w:val="en-US"/>
        </w:rPr>
        <w:t>One major issue</w:t>
      </w:r>
      <w:r w:rsidR="00E03A0B">
        <w:rPr>
          <w:rFonts w:ascii="Times New Roman" w:hAnsi="Times New Roman"/>
          <w:lang w:val="en-US"/>
        </w:rPr>
        <w:t xml:space="preserve"> with</w:t>
      </w:r>
      <w:r w:rsidRPr="00FC3BDE">
        <w:rPr>
          <w:rFonts w:ascii="Times New Roman" w:hAnsi="Times New Roman"/>
          <w:lang w:val="en-US"/>
        </w:rPr>
        <w:t xml:space="preserve"> </w:t>
      </w:r>
      <w:r>
        <w:rPr>
          <w:rFonts w:ascii="Times New Roman" w:hAnsi="Times New Roman"/>
          <w:lang w:val="en-US"/>
        </w:rPr>
        <w:t>dynamic</w:t>
      </w:r>
      <w:r w:rsidRPr="00FC3BDE">
        <w:rPr>
          <w:rFonts w:ascii="Times New Roman" w:hAnsi="Times New Roman"/>
          <w:lang w:val="en-US"/>
        </w:rPr>
        <w:t xml:space="preserve"> TAC is that when the Tracking Area changes as the mIAB node moves, the UEs all have to perform TAUs at the same time when the cell changes its Tracking Area as the network is attempting to keep the Tracking Area fixed within a given geographical area. </w:t>
      </w:r>
    </w:p>
    <w:p w14:paraId="096BCE9B" w14:textId="6C591A85" w:rsidR="00603863" w:rsidRDefault="00603863" w:rsidP="00603863">
      <w:pPr>
        <w:rPr>
          <w:lang w:val="en-US" w:eastAsia="zh-CN"/>
        </w:rPr>
      </w:pPr>
      <w:r w:rsidRPr="00603863">
        <w:rPr>
          <w:lang w:val="en-US" w:eastAsia="zh-CN"/>
        </w:rPr>
        <w:t xml:space="preserve">Another issue is that </w:t>
      </w:r>
      <w:r w:rsidR="005842EF">
        <w:rPr>
          <w:lang w:val="en-US" w:eastAsia="zh-CN"/>
        </w:rPr>
        <w:t>for the mIAB work,</w:t>
      </w:r>
      <w:r w:rsidRPr="00603863">
        <w:rPr>
          <w:lang w:val="en-US" w:eastAsia="zh-CN"/>
        </w:rPr>
        <w:t xml:space="preserve"> the following is</w:t>
      </w:r>
      <w:r>
        <w:rPr>
          <w:lang w:val="en-US" w:eastAsia="zh-CN"/>
        </w:rPr>
        <w:t xml:space="preserve"> one of the guiding principles (</w:t>
      </w:r>
      <w:r w:rsidRPr="00603863">
        <w:rPr>
          <w:lang w:val="en-US" w:eastAsia="zh-CN"/>
        </w:rPr>
        <w:t>RP-220843</w:t>
      </w:r>
      <w:r>
        <w:rPr>
          <w:lang w:val="en-US" w:eastAsia="zh-CN"/>
        </w:rPr>
        <w:t>):</w:t>
      </w:r>
      <w:r w:rsidRPr="00603863">
        <w:rPr>
          <w:lang w:val="en-US" w:eastAsia="zh-CN"/>
        </w:rPr>
        <w:t xml:space="preserve"> Mobile IAB-nodes should be able to serve legacy UEs.</w:t>
      </w:r>
      <w:r>
        <w:rPr>
          <w:lang w:val="en-US" w:eastAsia="zh-CN"/>
        </w:rPr>
        <w:t xml:space="preserve"> </w:t>
      </w:r>
      <w:r w:rsidRPr="00603863">
        <w:rPr>
          <w:lang w:val="en-US" w:eastAsia="zh-CN"/>
        </w:rPr>
        <w:t xml:space="preserve">This means that the network will still have to support UEs that are not enhanced, thus any </w:t>
      </w:r>
      <w:r>
        <w:rPr>
          <w:lang w:val="en-US" w:eastAsia="zh-CN"/>
        </w:rPr>
        <w:t xml:space="preserve">mIAB related </w:t>
      </w:r>
      <w:r w:rsidRPr="00603863">
        <w:rPr>
          <w:lang w:val="en-US" w:eastAsia="zh-CN"/>
        </w:rPr>
        <w:t xml:space="preserve">enhancements introduced should not “break” the </w:t>
      </w:r>
      <w:r w:rsidR="005842EF">
        <w:rPr>
          <w:lang w:val="en-US" w:eastAsia="zh-CN"/>
        </w:rPr>
        <w:t>support</w:t>
      </w:r>
      <w:r w:rsidRPr="00603863">
        <w:rPr>
          <w:lang w:val="en-US" w:eastAsia="zh-CN"/>
        </w:rPr>
        <w:t xml:space="preserve"> of non-enhanced UEs.  </w:t>
      </w:r>
    </w:p>
    <w:p w14:paraId="315B5F9F" w14:textId="422D6869" w:rsidR="00894B14" w:rsidRPr="00517561" w:rsidRDefault="00894B14" w:rsidP="00894B14">
      <w:pPr>
        <w:pStyle w:val="Observation"/>
        <w:rPr>
          <w:rFonts w:ascii="Times New Roman" w:hAnsi="Times New Roman"/>
          <w:lang w:val="en-US"/>
        </w:rPr>
      </w:pPr>
      <w:r w:rsidRPr="00517561">
        <w:rPr>
          <w:rFonts w:ascii="Times New Roman" w:hAnsi="Times New Roman"/>
          <w:lang w:val="en-US"/>
        </w:rPr>
        <w:t>Solution</w:t>
      </w:r>
      <w:r w:rsidR="00FC3BDE">
        <w:rPr>
          <w:rFonts w:ascii="Times New Roman" w:hAnsi="Times New Roman"/>
          <w:lang w:val="en-US"/>
        </w:rPr>
        <w:t>s</w:t>
      </w:r>
      <w:r w:rsidRPr="00517561">
        <w:rPr>
          <w:rFonts w:ascii="Times New Roman" w:hAnsi="Times New Roman"/>
          <w:lang w:val="en-US"/>
        </w:rPr>
        <w:t xml:space="preserve"> on tracking areas </w:t>
      </w:r>
      <w:r w:rsidR="00FC3BDE">
        <w:rPr>
          <w:rFonts w:ascii="Times New Roman" w:hAnsi="Times New Roman"/>
          <w:lang w:val="en-US"/>
        </w:rPr>
        <w:t xml:space="preserve">to issue identified in Observation 1 </w:t>
      </w:r>
      <w:r w:rsidRPr="00517561">
        <w:rPr>
          <w:rFonts w:ascii="Times New Roman" w:hAnsi="Times New Roman"/>
          <w:lang w:val="en-US"/>
        </w:rPr>
        <w:t>should still be able to serve legacy UEs.</w:t>
      </w:r>
    </w:p>
    <w:p w14:paraId="07E1C4C3" w14:textId="77777777" w:rsidR="009C7F07" w:rsidRDefault="00445D24" w:rsidP="009C7F07">
      <w:pPr>
        <w:pStyle w:val="Heading1"/>
      </w:pPr>
      <w:r>
        <w:lastRenderedPageBreak/>
        <w:t>Use of multiple TA fields: concept and use-cases</w:t>
      </w:r>
    </w:p>
    <w:p w14:paraId="7B462602" w14:textId="77777777" w:rsidR="00863341" w:rsidRDefault="00BE16D7" w:rsidP="00FB1980">
      <w:pPr>
        <w:rPr>
          <w:lang w:val="en-US" w:eastAsia="zh-CN"/>
        </w:rPr>
      </w:pPr>
      <w:r>
        <w:rPr>
          <w:lang w:val="en-US" w:eastAsia="zh-CN"/>
        </w:rPr>
        <w:t>When it comes to alleviating TAU storms, o</w:t>
      </w:r>
      <w:r w:rsidR="00FB1980">
        <w:rPr>
          <w:lang w:val="en-US" w:eastAsia="zh-CN"/>
        </w:rPr>
        <w:t xml:space="preserve">ne </w:t>
      </w:r>
      <w:r>
        <w:rPr>
          <w:lang w:val="en-US" w:eastAsia="zh-CN"/>
        </w:rPr>
        <w:t xml:space="preserve">possible </w:t>
      </w:r>
      <w:r w:rsidR="00FB1980">
        <w:rPr>
          <w:lang w:val="en-US" w:eastAsia="zh-CN"/>
        </w:rPr>
        <w:t>option (as discussed in RAN2#120)</w:t>
      </w:r>
      <w:r>
        <w:rPr>
          <w:lang w:val="en-US" w:eastAsia="zh-CN"/>
        </w:rPr>
        <w:t xml:space="preserve"> could be to have </w:t>
      </w:r>
      <w:r w:rsidRPr="00BE16D7">
        <w:rPr>
          <w:lang w:val="en-US" w:eastAsia="zh-CN"/>
        </w:rPr>
        <w:t>the</w:t>
      </w:r>
      <w:r>
        <w:rPr>
          <w:lang w:val="en-US" w:eastAsia="zh-CN"/>
        </w:rPr>
        <w:t xml:space="preserve"> mIAB-served </w:t>
      </w:r>
      <w:r w:rsidRPr="00BE16D7">
        <w:rPr>
          <w:lang w:val="en-US" w:eastAsia="zh-CN"/>
        </w:rPr>
        <w:t>UE</w:t>
      </w:r>
      <w:r>
        <w:rPr>
          <w:lang w:val="en-US" w:eastAsia="zh-CN"/>
        </w:rPr>
        <w:t>s</w:t>
      </w:r>
      <w:r w:rsidRPr="00BE16D7">
        <w:rPr>
          <w:lang w:val="en-US" w:eastAsia="zh-CN"/>
        </w:rPr>
        <w:t xml:space="preserve"> multi-r</w:t>
      </w:r>
      <w:r>
        <w:rPr>
          <w:lang w:val="en-US" w:eastAsia="zh-CN"/>
        </w:rPr>
        <w:t>egistered in many applicable TAs. While this is certainly a possibility, the TAUs will still be needed and – while perhaps less frequent – they may be more sizable in terms of signaling amount due to UE being (re)registered to many TAs.</w:t>
      </w:r>
    </w:p>
    <w:p w14:paraId="4D2D0B45" w14:textId="01E9624E" w:rsidR="00A7529D" w:rsidRDefault="00A7529D" w:rsidP="00FB1980">
      <w:pPr>
        <w:rPr>
          <w:lang w:val="en-US" w:eastAsia="zh-CN"/>
        </w:rPr>
      </w:pPr>
      <w:r>
        <w:rPr>
          <w:lang w:val="en-US" w:eastAsia="zh-CN"/>
        </w:rPr>
        <w:t xml:space="preserve">Another solution </w:t>
      </w:r>
      <w:r w:rsidR="000939D5">
        <w:rPr>
          <w:lang w:val="en-US" w:eastAsia="zh-CN"/>
        </w:rPr>
        <w:t xml:space="preserve">suggested </w:t>
      </w:r>
      <w:r>
        <w:rPr>
          <w:lang w:val="en-US" w:eastAsia="zh-CN"/>
        </w:rPr>
        <w:t>in the last meeting was to introduce multiple tracking areas as is done for NTN. This has some issues</w:t>
      </w:r>
      <w:r w:rsidR="000939D5">
        <w:rPr>
          <w:lang w:val="en-US" w:eastAsia="zh-CN"/>
        </w:rPr>
        <w:t xml:space="preserve"> for mIAB</w:t>
      </w:r>
      <w:r>
        <w:rPr>
          <w:lang w:val="en-US" w:eastAsia="zh-CN"/>
        </w:rPr>
        <w:t xml:space="preserve"> as 1) the trackingAreaList-r17 is only readable by Rel-17 UEs and we have to support Rel-15 UEs</w:t>
      </w:r>
      <w:r w:rsidR="000939D5">
        <w:rPr>
          <w:lang w:val="en-US" w:eastAsia="zh-CN"/>
        </w:rPr>
        <w:t>,</w:t>
      </w:r>
      <w:r>
        <w:rPr>
          <w:lang w:val="en-US" w:eastAsia="zh-CN"/>
        </w:rPr>
        <w:t xml:space="preserve"> and 2) the </w:t>
      </w:r>
      <w:r w:rsidR="00994662">
        <w:rPr>
          <w:lang w:val="en-US" w:eastAsia="zh-CN"/>
        </w:rPr>
        <w:t xml:space="preserve">NTN solution on tracking areas rely on </w:t>
      </w:r>
      <w:r w:rsidR="000939D5">
        <w:rPr>
          <w:lang w:val="en-US" w:eastAsia="zh-CN"/>
        </w:rPr>
        <w:t>mapping</w:t>
      </w:r>
      <w:r w:rsidR="00994662">
        <w:rPr>
          <w:lang w:val="en-US" w:eastAsia="zh-CN"/>
        </w:rPr>
        <w:t xml:space="preserve"> the identifiers used over Uu, to another identifier that is used over NGAP (gNB to AMF) – this is likely not the solution that RAN3/SA2 is looking at. </w:t>
      </w:r>
    </w:p>
    <w:p w14:paraId="2BC05102" w14:textId="6FF37229" w:rsidR="00894B14" w:rsidRPr="00894B14" w:rsidRDefault="00894B14" w:rsidP="00894B14">
      <w:pPr>
        <w:rPr>
          <w:lang w:val="en-US" w:eastAsia="zh-CN"/>
        </w:rPr>
      </w:pPr>
      <w:r>
        <w:rPr>
          <w:lang w:val="en-US" w:eastAsia="zh-CN"/>
        </w:rPr>
        <w:t>The tracking area signaling is done as part of PLMN-Identity, which can be seen below:</w:t>
      </w:r>
    </w:p>
    <w:p w14:paraId="0DF0EFC8" w14:textId="77777777" w:rsidR="00894B14" w:rsidRDefault="00894B14" w:rsidP="00894B14">
      <w:pPr>
        <w:pStyle w:val="TH"/>
        <w:rPr>
          <w:rFonts w:eastAsia="Times New Roman"/>
        </w:rPr>
      </w:pPr>
      <w:r>
        <w:rPr>
          <w:bCs/>
          <w:i/>
          <w:iCs/>
        </w:rPr>
        <w:t>PLMN-IdentityInfoList</w:t>
      </w:r>
      <w:r>
        <w:t xml:space="preserve"> information element</w:t>
      </w:r>
    </w:p>
    <w:p w14:paraId="6F2B85CC" w14:textId="77777777" w:rsidR="00894B14" w:rsidRDefault="00894B14" w:rsidP="00894B14">
      <w:pPr>
        <w:pStyle w:val="PL"/>
        <w:rPr>
          <w:color w:val="808080"/>
        </w:rPr>
      </w:pPr>
      <w:r>
        <w:rPr>
          <w:color w:val="808080"/>
        </w:rPr>
        <w:t>-- ASN1START</w:t>
      </w:r>
    </w:p>
    <w:p w14:paraId="73B8E183" w14:textId="77777777" w:rsidR="00894B14" w:rsidRDefault="00894B14" w:rsidP="00894B14">
      <w:pPr>
        <w:pStyle w:val="PL"/>
        <w:rPr>
          <w:color w:val="808080"/>
        </w:rPr>
      </w:pPr>
      <w:r>
        <w:rPr>
          <w:color w:val="808080"/>
        </w:rPr>
        <w:t>-- TAG-PLMN-IDENTITYINFOLIST-START</w:t>
      </w:r>
    </w:p>
    <w:p w14:paraId="16B048EA" w14:textId="77777777" w:rsidR="00894B14" w:rsidRDefault="00894B14" w:rsidP="00894B14">
      <w:pPr>
        <w:pStyle w:val="PL"/>
      </w:pPr>
    </w:p>
    <w:p w14:paraId="03EA0943" w14:textId="302FEAAC" w:rsidR="00894B14" w:rsidRDefault="00894B14" w:rsidP="00894B14">
      <w:pPr>
        <w:pStyle w:val="PL"/>
      </w:pPr>
      <w:r>
        <w:t xml:space="preserve">PLMN-IdentityInfoList ::=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4471F10F" w14:textId="77777777" w:rsidR="00894B14" w:rsidRDefault="00894B14" w:rsidP="00894B14">
      <w:pPr>
        <w:pStyle w:val="PL"/>
      </w:pPr>
    </w:p>
    <w:p w14:paraId="62399C3F" w14:textId="54781A51" w:rsidR="00894B14" w:rsidRDefault="00894B14" w:rsidP="00894B14">
      <w:pPr>
        <w:pStyle w:val="PL"/>
      </w:pPr>
      <w:r>
        <w:t xml:space="preserve">PLMN-IdentityInfo ::=           </w:t>
      </w:r>
      <w:r>
        <w:rPr>
          <w:color w:val="993366"/>
        </w:rPr>
        <w:t>SEQUENCE</w:t>
      </w:r>
      <w:r>
        <w:t xml:space="preserve"> {</w:t>
      </w:r>
    </w:p>
    <w:p w14:paraId="572C07E2" w14:textId="0C2CAED3" w:rsidR="00894B14" w:rsidRDefault="00894B14" w:rsidP="00894B14">
      <w:pPr>
        <w:pStyle w:val="PL"/>
      </w:pPr>
      <w:r>
        <w:t xml:space="preserve">    plmn-IdentityList               </w:t>
      </w:r>
      <w:r>
        <w:rPr>
          <w:color w:val="993366"/>
        </w:rPr>
        <w:t>SEQUENCE</w:t>
      </w:r>
      <w:r>
        <w:t xml:space="preserve"> (</w:t>
      </w:r>
      <w:r>
        <w:rPr>
          <w:color w:val="993366"/>
        </w:rPr>
        <w:t>SIZE</w:t>
      </w:r>
      <w:r>
        <w:t xml:space="preserve"> (1..maxPLMN))</w:t>
      </w:r>
      <w:r>
        <w:rPr>
          <w:color w:val="993366"/>
        </w:rPr>
        <w:t xml:space="preserve"> OF</w:t>
      </w:r>
      <w:r>
        <w:t xml:space="preserve"> PLMN-Identity,</w:t>
      </w:r>
    </w:p>
    <w:p w14:paraId="4F3751A0" w14:textId="5644B1CA" w:rsidR="00894B14" w:rsidRDefault="00894B14" w:rsidP="00894B14">
      <w:pPr>
        <w:pStyle w:val="PL"/>
        <w:rPr>
          <w:color w:val="808080"/>
        </w:rPr>
      </w:pPr>
      <w:r>
        <w:t xml:space="preserve">    trackingAreaCode                TrackingAreaCode         </w:t>
      </w:r>
      <w:r>
        <w:rPr>
          <w:color w:val="993366"/>
        </w:rPr>
        <w:t>OPTIONAL</w:t>
      </w:r>
      <w:r>
        <w:t xml:space="preserve">,       </w:t>
      </w:r>
      <w:r>
        <w:rPr>
          <w:color w:val="808080"/>
        </w:rPr>
        <w:t>-- Need R</w:t>
      </w:r>
    </w:p>
    <w:p w14:paraId="18434FE1" w14:textId="452B0798" w:rsidR="00894B14" w:rsidRDefault="00894B14" w:rsidP="00894B14">
      <w:pPr>
        <w:pStyle w:val="PL"/>
        <w:rPr>
          <w:color w:val="808080"/>
        </w:rPr>
      </w:pPr>
      <w:r>
        <w:t xml:space="preserve">    ranac                           RAN-AreaCode             </w:t>
      </w:r>
      <w:r>
        <w:rPr>
          <w:color w:val="993366"/>
        </w:rPr>
        <w:t>OPTIONAL</w:t>
      </w:r>
      <w:r>
        <w:t xml:space="preserve">,       </w:t>
      </w:r>
      <w:r>
        <w:rPr>
          <w:color w:val="808080"/>
        </w:rPr>
        <w:t>-- Need R</w:t>
      </w:r>
    </w:p>
    <w:p w14:paraId="695C1BAA" w14:textId="7A1E4F43" w:rsidR="00894B14" w:rsidRDefault="00894B14" w:rsidP="00894B14">
      <w:pPr>
        <w:pStyle w:val="PL"/>
      </w:pPr>
      <w:r>
        <w:t xml:space="preserve">    cellIdentity                    CellIdentity,</w:t>
      </w:r>
    </w:p>
    <w:p w14:paraId="0D9E3A0E" w14:textId="3AAE39FC" w:rsidR="00894B14" w:rsidRDefault="00894B14" w:rsidP="00894B14">
      <w:pPr>
        <w:pStyle w:val="PL"/>
      </w:pPr>
      <w:r>
        <w:t xml:space="preserve">    cellReservedForOperatorUse      </w:t>
      </w:r>
      <w:r>
        <w:rPr>
          <w:color w:val="993366"/>
        </w:rPr>
        <w:t>ENUMERATED</w:t>
      </w:r>
      <w:r>
        <w:t xml:space="preserve"> {reserved, notReserved},</w:t>
      </w:r>
    </w:p>
    <w:p w14:paraId="0A25D0C7" w14:textId="77777777" w:rsidR="00894B14" w:rsidRDefault="00894B14" w:rsidP="00894B14">
      <w:pPr>
        <w:pStyle w:val="PL"/>
      </w:pPr>
      <w:r>
        <w:t xml:space="preserve">    ...,</w:t>
      </w:r>
    </w:p>
    <w:p w14:paraId="67C723C7" w14:textId="77777777" w:rsidR="00894B14" w:rsidRDefault="00894B14" w:rsidP="00894B14">
      <w:pPr>
        <w:pStyle w:val="PL"/>
      </w:pPr>
      <w:r>
        <w:t xml:space="preserve">    [[</w:t>
      </w:r>
    </w:p>
    <w:p w14:paraId="5DB4800E" w14:textId="153AA9E4" w:rsidR="00894B14" w:rsidRDefault="00894B14" w:rsidP="00894B14">
      <w:pPr>
        <w:pStyle w:val="PL"/>
        <w:rPr>
          <w:color w:val="808080"/>
        </w:rPr>
      </w:pPr>
      <w:r>
        <w:t xml:space="preserve">    iab-Support-r16                 </w:t>
      </w:r>
      <w:r>
        <w:rPr>
          <w:color w:val="993366"/>
        </w:rPr>
        <w:t>ENUMERATED</w:t>
      </w:r>
      <w:r>
        <w:t xml:space="preserve"> {true}        </w:t>
      </w:r>
      <w:r>
        <w:rPr>
          <w:color w:val="993366"/>
        </w:rPr>
        <w:t>OPTIONAL</w:t>
      </w:r>
      <w:r>
        <w:t xml:space="preserve">       </w:t>
      </w:r>
      <w:r>
        <w:rPr>
          <w:color w:val="808080"/>
        </w:rPr>
        <w:t>-- Need S</w:t>
      </w:r>
    </w:p>
    <w:p w14:paraId="70A16F1A" w14:textId="77777777" w:rsidR="00894B14" w:rsidRDefault="00894B14" w:rsidP="00894B14">
      <w:pPr>
        <w:pStyle w:val="PL"/>
      </w:pPr>
      <w:r>
        <w:t xml:space="preserve">    ]],</w:t>
      </w:r>
    </w:p>
    <w:p w14:paraId="7C30265D" w14:textId="77777777" w:rsidR="00894B14" w:rsidRDefault="00894B14" w:rsidP="00894B14">
      <w:pPr>
        <w:pStyle w:val="PL"/>
      </w:pPr>
      <w:r>
        <w:t xml:space="preserve">    [[</w:t>
      </w:r>
    </w:p>
    <w:p w14:paraId="5E3CA99B" w14:textId="2149DE1E" w:rsidR="00894B14" w:rsidRDefault="00894B14" w:rsidP="00894B14">
      <w:pPr>
        <w:pStyle w:val="PL"/>
        <w:rPr>
          <w:color w:val="808080"/>
        </w:rPr>
      </w:pPr>
      <w:r>
        <w:t xml:space="preserve">    trackingAreaList-r17            </w:t>
      </w:r>
      <w:r>
        <w:rPr>
          <w:color w:val="993366"/>
        </w:rPr>
        <w:t>SEQUENCE</w:t>
      </w:r>
      <w:r>
        <w:t xml:space="preserve"> (</w:t>
      </w:r>
      <w:r>
        <w:rPr>
          <w:color w:val="993366"/>
        </w:rPr>
        <w:t>SIZE</w:t>
      </w:r>
      <w:r>
        <w:t xml:space="preserve"> (1..maxTAC-r17))</w:t>
      </w:r>
      <w:r>
        <w:rPr>
          <w:color w:val="993366"/>
        </w:rPr>
        <w:t xml:space="preserve"> OF</w:t>
      </w:r>
      <w:r>
        <w:t xml:space="preserve"> TrackingAreaCode             </w:t>
      </w:r>
      <w:r>
        <w:rPr>
          <w:color w:val="993366"/>
        </w:rPr>
        <w:t>OPTIONAL</w:t>
      </w:r>
      <w:r>
        <w:t xml:space="preserve">,      </w:t>
      </w:r>
      <w:r>
        <w:rPr>
          <w:color w:val="808080"/>
        </w:rPr>
        <w:t>-- Need R</w:t>
      </w:r>
    </w:p>
    <w:p w14:paraId="584387D5" w14:textId="2D9E6B51" w:rsidR="00894B14" w:rsidRDefault="00894B14" w:rsidP="00894B14">
      <w:pPr>
        <w:pStyle w:val="PL"/>
        <w:rPr>
          <w:color w:val="808080"/>
        </w:rPr>
      </w:pPr>
      <w:r>
        <w:t xml:space="preserve">    gNB-ID-Length-r17               </w:t>
      </w:r>
      <w:r>
        <w:rPr>
          <w:color w:val="993366"/>
        </w:rPr>
        <w:t>INTEGER</w:t>
      </w:r>
      <w:r>
        <w:t xml:space="preserve"> (22..32)         </w:t>
      </w:r>
      <w:r>
        <w:rPr>
          <w:color w:val="993366"/>
        </w:rPr>
        <w:t>OPTIONAL</w:t>
      </w:r>
      <w:r>
        <w:t xml:space="preserve">       </w:t>
      </w:r>
      <w:r>
        <w:rPr>
          <w:color w:val="808080"/>
        </w:rPr>
        <w:t>-- Need R</w:t>
      </w:r>
    </w:p>
    <w:p w14:paraId="31BEDF21" w14:textId="77777777" w:rsidR="00894B14" w:rsidRDefault="00894B14" w:rsidP="00894B14">
      <w:pPr>
        <w:pStyle w:val="PL"/>
      </w:pPr>
      <w:r>
        <w:t xml:space="preserve">    ]]</w:t>
      </w:r>
    </w:p>
    <w:p w14:paraId="0282CC49" w14:textId="77777777" w:rsidR="00894B14" w:rsidRDefault="00894B14" w:rsidP="00894B14">
      <w:pPr>
        <w:pStyle w:val="PL"/>
      </w:pPr>
      <w:r>
        <w:t>}</w:t>
      </w:r>
    </w:p>
    <w:p w14:paraId="6EE3B115" w14:textId="77777777" w:rsidR="00894B14" w:rsidRDefault="00894B14" w:rsidP="00894B14">
      <w:pPr>
        <w:pStyle w:val="PL"/>
        <w:rPr>
          <w:color w:val="808080"/>
        </w:rPr>
      </w:pPr>
      <w:r>
        <w:rPr>
          <w:color w:val="808080"/>
        </w:rPr>
        <w:t>-- TAG-PLMN-IDENTITYINFOLIST-STOP</w:t>
      </w:r>
    </w:p>
    <w:p w14:paraId="300D650C" w14:textId="77777777" w:rsidR="00894B14" w:rsidRDefault="00894B14" w:rsidP="00894B14">
      <w:pPr>
        <w:pStyle w:val="PL"/>
        <w:rPr>
          <w:color w:val="808080"/>
        </w:rPr>
      </w:pPr>
      <w:r>
        <w:rPr>
          <w:color w:val="808080"/>
        </w:rPr>
        <w:t>-- ASN1STOP</w:t>
      </w:r>
    </w:p>
    <w:p w14:paraId="0CEA55DA" w14:textId="77777777" w:rsidR="00894B14" w:rsidRDefault="00894B14" w:rsidP="00894B14">
      <w:pPr>
        <w:rPr>
          <w:rFonts w:eastAsia="Times New Roman"/>
        </w:rPr>
      </w:pPr>
    </w:p>
    <w:tbl>
      <w:tblPr>
        <w:tblW w:w="460.4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209"/>
      </w:tblGrid>
      <w:tr w:rsidR="00894B14" w14:paraId="494D38E2" w14:textId="77777777" w:rsidTr="00894B14">
        <w:tc>
          <w:tcPr>
            <w:tcW w:w="460.45pt" w:type="dxa"/>
            <w:tcBorders>
              <w:top w:val="single" w:sz="4" w:space="0" w:color="auto"/>
              <w:start w:val="single" w:sz="4" w:space="0" w:color="auto"/>
              <w:bottom w:val="single" w:sz="4" w:space="0" w:color="auto"/>
              <w:end w:val="single" w:sz="4" w:space="0" w:color="auto"/>
            </w:tcBorders>
            <w:hideMark/>
          </w:tcPr>
          <w:p w14:paraId="14EC5388" w14:textId="77777777" w:rsidR="00894B14" w:rsidRDefault="00894B14">
            <w:pPr>
              <w:pStyle w:val="TAH"/>
              <w:rPr>
                <w:szCs w:val="22"/>
                <w:lang w:val="sv-SE" w:eastAsia="sv-SE"/>
              </w:rPr>
            </w:pPr>
            <w:r>
              <w:rPr>
                <w:i/>
                <w:szCs w:val="22"/>
                <w:lang w:val="sv-SE" w:eastAsia="sv-SE"/>
              </w:rPr>
              <w:t xml:space="preserve">PLMN-IdentityInfo </w:t>
            </w:r>
            <w:r>
              <w:rPr>
                <w:szCs w:val="22"/>
                <w:lang w:val="sv-SE" w:eastAsia="sv-SE"/>
              </w:rPr>
              <w:t>field descriptions</w:t>
            </w:r>
          </w:p>
        </w:tc>
      </w:tr>
      <w:tr w:rsidR="00894B14" w14:paraId="0AD16EE8" w14:textId="77777777" w:rsidTr="00894B14">
        <w:tc>
          <w:tcPr>
            <w:tcW w:w="460.45pt" w:type="dxa"/>
            <w:tcBorders>
              <w:top w:val="single" w:sz="4" w:space="0" w:color="auto"/>
              <w:start w:val="single" w:sz="4" w:space="0" w:color="auto"/>
              <w:bottom w:val="single" w:sz="4" w:space="0" w:color="auto"/>
              <w:end w:val="single" w:sz="4" w:space="0" w:color="auto"/>
            </w:tcBorders>
            <w:hideMark/>
          </w:tcPr>
          <w:p w14:paraId="328C23F3" w14:textId="77777777" w:rsidR="00894B14" w:rsidRDefault="00894B14">
            <w:pPr>
              <w:pStyle w:val="TAL"/>
              <w:rPr>
                <w:szCs w:val="22"/>
                <w:lang w:val="sv-SE" w:eastAsia="sv-SE"/>
              </w:rPr>
            </w:pPr>
            <w:r>
              <w:rPr>
                <w:b/>
                <w:i/>
                <w:szCs w:val="22"/>
                <w:lang w:val="sv-SE" w:eastAsia="sv-SE"/>
              </w:rPr>
              <w:t>cellReservedForOperatorUse</w:t>
            </w:r>
          </w:p>
          <w:p w14:paraId="454BDFB1" w14:textId="77777777" w:rsidR="00894B14" w:rsidRDefault="00894B14">
            <w:pPr>
              <w:pStyle w:val="TAL"/>
              <w:rPr>
                <w:szCs w:val="22"/>
                <w:lang w:val="sv-SE" w:eastAsia="sv-SE"/>
              </w:rPr>
            </w:pPr>
            <w:r>
              <w:rPr>
                <w:szCs w:val="22"/>
                <w:lang w:val="sv-SE" w:eastAsia="sv-SE"/>
              </w:rPr>
              <w:t>Indicates whether the cell is reserved for operator use (per PLMN), as defined in TS 38.304 [20].</w:t>
            </w:r>
            <w:r>
              <w:rPr>
                <w:szCs w:val="22"/>
                <w:lang w:val="sv-SE"/>
              </w:rPr>
              <w:t xml:space="preserve"> This field is ignored by IAB-MT.</w:t>
            </w:r>
          </w:p>
        </w:tc>
      </w:tr>
      <w:tr w:rsidR="00894B14" w14:paraId="0E317B24" w14:textId="77777777" w:rsidTr="00894B14">
        <w:tc>
          <w:tcPr>
            <w:tcW w:w="460.45pt" w:type="dxa"/>
            <w:tcBorders>
              <w:top w:val="single" w:sz="4" w:space="0" w:color="auto"/>
              <w:start w:val="single" w:sz="4" w:space="0" w:color="auto"/>
              <w:bottom w:val="single" w:sz="4" w:space="0" w:color="auto"/>
              <w:end w:val="single" w:sz="4" w:space="0" w:color="auto"/>
            </w:tcBorders>
            <w:hideMark/>
          </w:tcPr>
          <w:p w14:paraId="1F987973" w14:textId="77777777" w:rsidR="00894B14" w:rsidRDefault="00894B14">
            <w:pPr>
              <w:keepNext/>
              <w:keepLines/>
              <w:spacing w:after="0pt"/>
              <w:rPr>
                <w:rFonts w:ascii="Arial" w:hAnsi="Arial"/>
                <w:sz w:val="18"/>
                <w:szCs w:val="22"/>
                <w:lang w:val="sv-SE" w:eastAsia="sv-SE"/>
              </w:rPr>
            </w:pPr>
            <w:r>
              <w:rPr>
                <w:rFonts w:ascii="Arial" w:hAnsi="Arial"/>
                <w:b/>
                <w:i/>
                <w:sz w:val="18"/>
                <w:szCs w:val="22"/>
                <w:lang w:val="sv-SE" w:eastAsia="sv-SE"/>
              </w:rPr>
              <w:t>gNB-ID-Length</w:t>
            </w:r>
          </w:p>
          <w:p w14:paraId="3777E8F9" w14:textId="77777777" w:rsidR="00894B14" w:rsidRDefault="00894B14">
            <w:pPr>
              <w:pStyle w:val="TAL"/>
              <w:rPr>
                <w:b/>
                <w:i/>
                <w:szCs w:val="22"/>
                <w:lang w:val="sv-SE" w:eastAsia="sv-SE"/>
              </w:rPr>
            </w:pPr>
            <w:r>
              <w:rPr>
                <w:szCs w:val="22"/>
                <w:lang w:val="sv-SE" w:eastAsia="sv-SE"/>
              </w:rPr>
              <w:t xml:space="preserve">Indicates the length of the gNB ID out of the 36-bit long </w:t>
            </w:r>
            <w:r>
              <w:rPr>
                <w:i/>
                <w:iCs/>
                <w:szCs w:val="22"/>
                <w:lang w:val="sv-SE" w:eastAsia="sv-SE"/>
              </w:rPr>
              <w:t>cellIdentity</w:t>
            </w:r>
            <w:r>
              <w:rPr>
                <w:szCs w:val="22"/>
                <w:lang w:val="sv-SE"/>
              </w:rPr>
              <w:t>.</w:t>
            </w:r>
          </w:p>
        </w:tc>
      </w:tr>
      <w:tr w:rsidR="00894B14" w14:paraId="0840CF04" w14:textId="77777777" w:rsidTr="00894B14">
        <w:tc>
          <w:tcPr>
            <w:tcW w:w="460.45pt" w:type="dxa"/>
            <w:tcBorders>
              <w:top w:val="single" w:sz="4" w:space="0" w:color="auto"/>
              <w:start w:val="single" w:sz="4" w:space="0" w:color="auto"/>
              <w:bottom w:val="single" w:sz="4" w:space="0" w:color="auto"/>
              <w:end w:val="single" w:sz="4" w:space="0" w:color="auto"/>
            </w:tcBorders>
            <w:hideMark/>
          </w:tcPr>
          <w:p w14:paraId="1B4DD006" w14:textId="77777777" w:rsidR="00894B14" w:rsidRDefault="00894B14">
            <w:pPr>
              <w:pStyle w:val="TAL"/>
              <w:rPr>
                <w:b/>
                <w:bCs/>
                <w:i/>
                <w:iCs/>
                <w:lang w:val="sv-SE" w:eastAsia="x-none"/>
              </w:rPr>
            </w:pPr>
            <w:r>
              <w:rPr>
                <w:b/>
                <w:bCs/>
                <w:i/>
                <w:iCs/>
                <w:lang w:val="sv-SE" w:eastAsia="x-none"/>
              </w:rPr>
              <w:t>iab-Support</w:t>
            </w:r>
          </w:p>
          <w:p w14:paraId="133235A6" w14:textId="77777777" w:rsidR="00894B14" w:rsidRDefault="00894B14">
            <w:pPr>
              <w:pStyle w:val="TAL"/>
              <w:rPr>
                <w:lang w:val="sv-SE" w:eastAsia="sv-SE"/>
              </w:rPr>
            </w:pPr>
            <w:r>
              <w:rPr>
                <w:lang w:val="sv-SE" w:eastAsia="sv-SE"/>
              </w:rPr>
              <w:t>This field combines both the support of IAB and the cell status for IAB. If the field is present, the cell supports IAB and the cell is also considered as a candidate</w:t>
            </w:r>
            <w:r>
              <w:rPr>
                <w:lang w:val="sv-SE"/>
              </w:rPr>
              <w:t xml:space="preserve"> for cell (re)selection</w:t>
            </w:r>
            <w:r>
              <w:rPr>
                <w:lang w:val="sv-SE" w:eastAsia="sv-SE"/>
              </w:rPr>
              <w:t xml:space="preserve"> for IAB-node; if the field is absent, the cell does not support IAB and/or the cell is barred for IAB-node.</w:t>
            </w:r>
          </w:p>
        </w:tc>
      </w:tr>
      <w:tr w:rsidR="00894B14" w14:paraId="689183E4" w14:textId="77777777" w:rsidTr="00894B14">
        <w:tc>
          <w:tcPr>
            <w:tcW w:w="460.45pt" w:type="dxa"/>
            <w:tcBorders>
              <w:top w:val="single" w:sz="4" w:space="0" w:color="auto"/>
              <w:start w:val="single" w:sz="4" w:space="0" w:color="auto"/>
              <w:bottom w:val="single" w:sz="4" w:space="0" w:color="auto"/>
              <w:end w:val="single" w:sz="4" w:space="0" w:color="auto"/>
            </w:tcBorders>
            <w:hideMark/>
          </w:tcPr>
          <w:p w14:paraId="39527849" w14:textId="77777777" w:rsidR="00894B14" w:rsidRDefault="00894B14">
            <w:pPr>
              <w:pStyle w:val="TAL"/>
              <w:rPr>
                <w:b/>
                <w:bCs/>
                <w:i/>
                <w:iCs/>
                <w:lang w:val="sv-SE" w:eastAsia="sv-SE"/>
              </w:rPr>
            </w:pPr>
            <w:r>
              <w:rPr>
                <w:b/>
                <w:bCs/>
                <w:i/>
                <w:iCs/>
                <w:lang w:val="sv-SE" w:eastAsia="sv-SE"/>
              </w:rPr>
              <w:t>trackingAreaCode</w:t>
            </w:r>
          </w:p>
          <w:p w14:paraId="2BDD6C53" w14:textId="77777777" w:rsidR="00894B14" w:rsidRDefault="00894B14">
            <w:pPr>
              <w:pStyle w:val="TAL"/>
              <w:rPr>
                <w:b/>
                <w:i/>
                <w:szCs w:val="22"/>
                <w:lang w:val="sv-SE" w:eastAsia="sv-SE"/>
              </w:rPr>
            </w:pPr>
            <w:r>
              <w:rPr>
                <w:szCs w:val="22"/>
                <w:lang w:val="sv-SE" w:eastAsia="sv-SE"/>
              </w:rPr>
              <w:t xml:space="preserve">Indicates Tracking Area Code to which the cell indicated by </w:t>
            </w:r>
            <w:r>
              <w:rPr>
                <w:i/>
                <w:szCs w:val="22"/>
                <w:lang w:val="sv-SE" w:eastAsia="sv-SE"/>
              </w:rPr>
              <w:t>cellIdentity</w:t>
            </w:r>
            <w:r>
              <w:rPr>
                <w:szCs w:val="22"/>
                <w:lang w:val="sv-SE" w:eastAsia="sv-SE"/>
              </w:rPr>
              <w:t xml:space="preserve"> field belongs. The absence of the field indicates that the cell only supports PSCell/SCell functionality (per PLMN)</w:t>
            </w:r>
            <w:r>
              <w:rPr>
                <w:lang w:val="sv-SE" w:eastAsia="sv-SE"/>
              </w:rPr>
              <w:t xml:space="preserve"> or is an NTN cell</w:t>
            </w:r>
            <w:r>
              <w:rPr>
                <w:szCs w:val="22"/>
                <w:lang w:val="sv-SE" w:eastAsia="sv-SE"/>
              </w:rPr>
              <w:t>.</w:t>
            </w:r>
          </w:p>
        </w:tc>
      </w:tr>
      <w:tr w:rsidR="00894B14" w14:paraId="0DB483E3" w14:textId="77777777" w:rsidTr="00894B14">
        <w:tc>
          <w:tcPr>
            <w:tcW w:w="460.45pt" w:type="dxa"/>
            <w:tcBorders>
              <w:top w:val="single" w:sz="4" w:space="0" w:color="auto"/>
              <w:start w:val="single" w:sz="4" w:space="0" w:color="auto"/>
              <w:bottom w:val="single" w:sz="4" w:space="0" w:color="auto"/>
              <w:end w:val="single" w:sz="4" w:space="0" w:color="auto"/>
            </w:tcBorders>
            <w:hideMark/>
          </w:tcPr>
          <w:p w14:paraId="317DB691" w14:textId="77777777" w:rsidR="00894B14" w:rsidRDefault="00894B14">
            <w:pPr>
              <w:pStyle w:val="TAL"/>
              <w:rPr>
                <w:b/>
                <w:bCs/>
                <w:i/>
                <w:iCs/>
                <w:lang w:val="sv-SE" w:eastAsia="sv-SE"/>
              </w:rPr>
            </w:pPr>
            <w:r>
              <w:rPr>
                <w:b/>
                <w:bCs/>
                <w:i/>
                <w:iCs/>
                <w:lang w:val="sv-SE" w:eastAsia="sv-SE"/>
              </w:rPr>
              <w:t>trackingAreaList</w:t>
            </w:r>
          </w:p>
          <w:p w14:paraId="3ED1B25E" w14:textId="77777777" w:rsidR="00894B14" w:rsidRDefault="00894B14">
            <w:pPr>
              <w:pStyle w:val="TAL"/>
              <w:rPr>
                <w:lang w:val="sv-SE" w:eastAsia="sv-SE"/>
              </w:rPr>
            </w:pPr>
            <w:r>
              <w:rPr>
                <w:lang w:val="sv-SE" w:eastAsia="sv-SE"/>
              </w:rPr>
              <w:t xml:space="preserve">List of Tracking Areas to which the cell indicated by </w:t>
            </w:r>
            <w:r>
              <w:rPr>
                <w:i/>
                <w:iCs/>
                <w:lang w:val="sv-SE" w:eastAsia="sv-SE"/>
              </w:rPr>
              <w:t>cellIdentity</w:t>
            </w:r>
            <w:r>
              <w:rPr>
                <w:lang w:val="sv-SE" w:eastAsia="sv-SE"/>
              </w:rPr>
              <w:t xml:space="preserve"> field belongs. If this field is present, </w:t>
            </w:r>
            <w:r>
              <w:rPr>
                <w:lang w:val="sv-SE"/>
              </w:rPr>
              <w:t>network does not configure</w:t>
            </w:r>
            <w:r>
              <w:rPr>
                <w:lang w:val="sv-SE" w:eastAsia="sv-SE"/>
              </w:rPr>
              <w:t xml:space="preserve"> </w:t>
            </w:r>
            <w:r>
              <w:rPr>
                <w:i/>
                <w:iCs/>
                <w:lang w:val="sv-SE" w:eastAsia="sv-SE"/>
              </w:rPr>
              <w:t>trackingAreaCode.</w:t>
            </w:r>
            <w:r>
              <w:rPr>
                <w:lang w:val="sv-SE" w:eastAsia="sv-SE"/>
              </w:rPr>
              <w:t xml:space="preserve"> Total number of different TACs across different </w:t>
            </w:r>
            <w:r>
              <w:rPr>
                <w:i/>
                <w:iCs/>
                <w:lang w:val="sv-SE"/>
              </w:rPr>
              <w:t>PLMN-IdentityInfo</w:t>
            </w:r>
            <w:r>
              <w:rPr>
                <w:lang w:val="sv-SE"/>
              </w:rPr>
              <w:t xml:space="preserve">s </w:t>
            </w:r>
            <w:r>
              <w:rPr>
                <w:lang w:val="sv-SE" w:eastAsia="sv-SE"/>
              </w:rPr>
              <w:t xml:space="preserve">shall not exceed </w:t>
            </w:r>
            <w:r>
              <w:rPr>
                <w:i/>
                <w:iCs/>
                <w:lang w:val="sv-SE" w:eastAsia="sv-SE"/>
              </w:rPr>
              <w:t>maxTAC</w:t>
            </w:r>
            <w:r>
              <w:rPr>
                <w:lang w:val="sv-SE" w:eastAsia="sv-SE"/>
              </w:rPr>
              <w:t>.</w:t>
            </w:r>
            <w:r>
              <w:rPr>
                <w:lang w:val="sv-SE"/>
              </w:rPr>
              <w:t xml:space="preserve"> </w:t>
            </w:r>
            <w:r>
              <w:rPr>
                <w:lang w:val="sv-SE" w:eastAsia="sv-SE"/>
              </w:rPr>
              <w:t>This field is only present in an NTN cell.</w:t>
            </w:r>
          </w:p>
        </w:tc>
      </w:tr>
    </w:tbl>
    <w:p w14:paraId="242F6D9F" w14:textId="696F8415" w:rsidR="00894B14" w:rsidRDefault="00894B14" w:rsidP="00FB1980">
      <w:pPr>
        <w:rPr>
          <w:lang w:val="en-US" w:eastAsia="zh-CN"/>
        </w:rPr>
      </w:pPr>
    </w:p>
    <w:p w14:paraId="713BB455" w14:textId="3D6FD907" w:rsidR="00BE16D7" w:rsidRDefault="00894B14" w:rsidP="00FB1980">
      <w:pPr>
        <w:rPr>
          <w:lang w:val="en-US" w:eastAsia="zh-CN"/>
        </w:rPr>
      </w:pPr>
      <w:r>
        <w:rPr>
          <w:lang w:val="en-US" w:eastAsia="zh-CN"/>
        </w:rPr>
        <w:t>The newly introduced</w:t>
      </w:r>
      <w:r w:rsidR="000776F4">
        <w:rPr>
          <w:lang w:val="en-US" w:eastAsia="zh-CN"/>
        </w:rPr>
        <w:t xml:space="preserve"> trackingAreaList in PLMN-Identity offers some interesting opportunities</w:t>
      </w:r>
      <w:r w:rsidR="000939D5">
        <w:rPr>
          <w:lang w:val="en-US" w:eastAsia="zh-CN"/>
        </w:rPr>
        <w:t xml:space="preserve"> for m</w:t>
      </w:r>
      <w:r w:rsidR="005E2BFD">
        <w:rPr>
          <w:lang w:val="en-US" w:eastAsia="zh-CN"/>
        </w:rPr>
        <w:t>IAB</w:t>
      </w:r>
      <w:r w:rsidR="000776F4">
        <w:rPr>
          <w:lang w:val="en-US" w:eastAsia="zh-CN"/>
        </w:rPr>
        <w:t>. One</w:t>
      </w:r>
      <w:r w:rsidR="00BE16D7">
        <w:rPr>
          <w:lang w:val="en-US" w:eastAsia="zh-CN"/>
        </w:rPr>
        <w:t xml:space="preserve"> </w:t>
      </w:r>
      <w:r w:rsidR="00865D05">
        <w:rPr>
          <w:lang w:val="en-US" w:eastAsia="zh-CN"/>
        </w:rPr>
        <w:t>possibility</w:t>
      </w:r>
      <w:r w:rsidR="00BE16D7">
        <w:rPr>
          <w:lang w:val="en-US" w:eastAsia="zh-CN"/>
        </w:rPr>
        <w:t xml:space="preserve"> would be to signal</w:t>
      </w:r>
      <w:r w:rsidR="00BE16D7" w:rsidRPr="00BE16D7">
        <w:rPr>
          <w:lang w:val="en-US" w:eastAsia="zh-CN"/>
        </w:rPr>
        <w:t xml:space="preserve"> </w:t>
      </w:r>
      <w:r w:rsidR="000776F4">
        <w:rPr>
          <w:lang w:val="en-US" w:eastAsia="zh-CN"/>
        </w:rPr>
        <w:t xml:space="preserve">the Rel-15 </w:t>
      </w:r>
      <w:r w:rsidR="000776F4">
        <w:rPr>
          <w:i/>
          <w:lang w:val="en-US" w:eastAsia="zh-CN"/>
        </w:rPr>
        <w:t>trackingAreaCode</w:t>
      </w:r>
      <w:r w:rsidR="000776F4">
        <w:rPr>
          <w:lang w:val="en-US" w:eastAsia="zh-CN"/>
        </w:rPr>
        <w:t xml:space="preserve"> and the </w:t>
      </w:r>
      <w:r w:rsidR="000776F4">
        <w:rPr>
          <w:i/>
          <w:lang w:val="en-US" w:eastAsia="zh-CN"/>
        </w:rPr>
        <w:t>trackingAreaList-r17</w:t>
      </w:r>
      <w:r w:rsidR="000776F4">
        <w:rPr>
          <w:lang w:val="en-US" w:eastAsia="zh-CN"/>
        </w:rPr>
        <w:t xml:space="preserve"> in the </w:t>
      </w:r>
      <w:r w:rsidR="000776F4">
        <w:rPr>
          <w:i/>
          <w:lang w:val="en-US" w:eastAsia="zh-CN"/>
        </w:rPr>
        <w:t>PLMN-Identity</w:t>
      </w:r>
      <w:r w:rsidR="00BE16D7" w:rsidRPr="00BE16D7">
        <w:rPr>
          <w:lang w:val="en-US" w:eastAsia="zh-CN"/>
        </w:rPr>
        <w:t xml:space="preserve"> that </w:t>
      </w:r>
      <w:r w:rsidR="000939D5">
        <w:rPr>
          <w:lang w:val="en-US" w:eastAsia="zh-CN"/>
        </w:rPr>
        <w:t xml:space="preserve">can </w:t>
      </w:r>
      <w:r w:rsidR="00BE16D7">
        <w:rPr>
          <w:lang w:val="en-US" w:eastAsia="zh-CN"/>
        </w:rPr>
        <w:t>then</w:t>
      </w:r>
      <w:r w:rsidR="000939D5">
        <w:rPr>
          <w:lang w:val="en-US" w:eastAsia="zh-CN"/>
        </w:rPr>
        <w:t xml:space="preserve"> be</w:t>
      </w:r>
      <w:r w:rsidR="00BE16D7">
        <w:rPr>
          <w:lang w:val="en-US" w:eastAsia="zh-CN"/>
        </w:rPr>
        <w:t xml:space="preserve"> </w:t>
      </w:r>
      <w:r w:rsidR="00BE16D7" w:rsidRPr="00BE16D7">
        <w:rPr>
          <w:lang w:val="en-US" w:eastAsia="zh-CN"/>
        </w:rPr>
        <w:t>utilized by different UEs</w:t>
      </w:r>
      <w:r w:rsidR="00BE16D7">
        <w:rPr>
          <w:lang w:val="en-US" w:eastAsia="zh-CN"/>
        </w:rPr>
        <w:t>. As shown in Figure 2 below, if the mIAB node</w:t>
      </w:r>
      <w:r w:rsidR="00BE16D7" w:rsidRPr="00BE16D7">
        <w:rPr>
          <w:lang w:val="en-US" w:eastAsia="zh-CN"/>
        </w:rPr>
        <w:t xml:space="preserve"> signals two different Tracking Area fields, one using legacy tracking area</w:t>
      </w:r>
      <w:r w:rsidR="000776F4">
        <w:rPr>
          <w:lang w:val="en-US" w:eastAsia="zh-CN"/>
        </w:rPr>
        <w:t xml:space="preserve"> </w:t>
      </w:r>
      <w:r w:rsidR="000776F4">
        <w:rPr>
          <w:i/>
          <w:lang w:val="en-US" w:eastAsia="zh-CN"/>
        </w:rPr>
        <w:t>trackingAreaCode</w:t>
      </w:r>
      <w:r w:rsidR="00BE16D7" w:rsidRPr="00BE16D7">
        <w:rPr>
          <w:lang w:val="en-US" w:eastAsia="zh-CN"/>
        </w:rPr>
        <w:t xml:space="preserve"> for legacy UEs and one using new field</w:t>
      </w:r>
      <w:r w:rsidR="000776F4">
        <w:rPr>
          <w:lang w:val="en-US" w:eastAsia="zh-CN"/>
        </w:rPr>
        <w:t xml:space="preserve"> </w:t>
      </w:r>
      <w:r w:rsidR="000776F4" w:rsidRPr="000776F4">
        <w:rPr>
          <w:i/>
          <w:lang w:val="en-US" w:eastAsia="zh-CN"/>
        </w:rPr>
        <w:t>trackingAreaList-r17</w:t>
      </w:r>
      <w:r w:rsidR="00BE16D7">
        <w:rPr>
          <w:lang w:val="en-US" w:eastAsia="zh-CN"/>
        </w:rPr>
        <w:t>, this</w:t>
      </w:r>
      <w:r w:rsidR="000776F4">
        <w:rPr>
          <w:lang w:val="en-US" w:eastAsia="zh-CN"/>
        </w:rPr>
        <w:t xml:space="preserve"> can</w:t>
      </w:r>
      <w:r w:rsidR="00BE16D7" w:rsidRPr="00BE16D7">
        <w:rPr>
          <w:lang w:val="en-US" w:eastAsia="zh-CN"/>
        </w:rPr>
        <w:t xml:space="preserve"> </w:t>
      </w:r>
      <w:r w:rsidR="00BE16D7">
        <w:rPr>
          <w:lang w:val="en-US" w:eastAsia="zh-CN"/>
        </w:rPr>
        <w:t>help</w:t>
      </w:r>
      <w:r w:rsidR="00BE16D7" w:rsidRPr="00BE16D7">
        <w:rPr>
          <w:lang w:val="en-US" w:eastAsia="zh-CN"/>
        </w:rPr>
        <w:t xml:space="preserve"> smoothen out the transition of moving in-between two different Tracking </w:t>
      </w:r>
      <w:r w:rsidR="00BE16D7">
        <w:rPr>
          <w:lang w:val="en-US" w:eastAsia="zh-CN"/>
        </w:rPr>
        <w:t>A</w:t>
      </w:r>
      <w:r w:rsidR="00BE16D7" w:rsidRPr="00BE16D7">
        <w:rPr>
          <w:lang w:val="en-US" w:eastAsia="zh-CN"/>
        </w:rPr>
        <w:t>reas. In this case, the mobile IAB will signal the tracking areas that are adjacent to current tracking areas.</w:t>
      </w:r>
    </w:p>
    <w:p w14:paraId="1A820BA8" w14:textId="77777777" w:rsidR="00BE16D7" w:rsidRDefault="00BE16D7" w:rsidP="00FB1980">
      <w:pPr>
        <w:rPr>
          <w:lang w:val="en-US" w:eastAsia="zh-CN"/>
        </w:rPr>
      </w:pPr>
    </w:p>
    <w:p w14:paraId="0A05D95E" w14:textId="5A21B6C7" w:rsidR="00BE16D7" w:rsidRDefault="002A57DC" w:rsidP="00BE16D7">
      <w:pPr>
        <w:jc w:val="center"/>
      </w:pPr>
      <w:r>
        <w:rPr>
          <w:noProof/>
          <w:lang w:eastAsia="en-GB"/>
        </w:rPr>
        <w:drawing>
          <wp:inline distT="0" distB="0" distL="0" distR="0" wp14:anchorId="5A6DDAC4" wp14:editId="1779AA64">
            <wp:extent cx="4112273" cy="2690038"/>
            <wp:effectExtent l="0" t="0" r="2540" b="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example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15292" cy="2692013"/>
                    </a:xfrm>
                    <a:prstGeom prst="rect">
                      <a:avLst/>
                    </a:prstGeom>
                  </pic:spPr>
                </pic:pic>
              </a:graphicData>
            </a:graphic>
          </wp:inline>
        </w:drawing>
      </w:r>
    </w:p>
    <w:p w14:paraId="1D709A81" w14:textId="77777777" w:rsidR="00BE16D7" w:rsidRDefault="00BE16D7" w:rsidP="00BE16D7">
      <w:pPr>
        <w:jc w:val="center"/>
        <w:rPr>
          <w:lang w:val="en-US" w:eastAsia="zh-CN"/>
        </w:rPr>
      </w:pPr>
      <w:r>
        <w:rPr>
          <w:lang w:val="en-US" w:eastAsia="zh-CN"/>
        </w:rPr>
        <w:t>Figure 2</w:t>
      </w:r>
    </w:p>
    <w:p w14:paraId="03E418EA" w14:textId="77777777" w:rsidR="00BE16D7" w:rsidRDefault="00BE16D7" w:rsidP="00BE16D7">
      <w:pPr>
        <w:jc w:val="center"/>
        <w:rPr>
          <w:lang w:val="en-US" w:eastAsia="zh-CN"/>
        </w:rPr>
      </w:pPr>
    </w:p>
    <w:p w14:paraId="6DC81992" w14:textId="77777777" w:rsidR="00BE16D7" w:rsidRDefault="00445D24" w:rsidP="00445D24">
      <w:pPr>
        <w:rPr>
          <w:lang w:val="en-US" w:eastAsia="zh-CN"/>
        </w:rPr>
      </w:pPr>
      <w:r w:rsidRPr="00445D24">
        <w:rPr>
          <w:lang w:val="en-US" w:eastAsia="zh-CN"/>
        </w:rPr>
        <w:t xml:space="preserve">The benefit of this approach </w:t>
      </w:r>
      <w:r>
        <w:rPr>
          <w:lang w:val="en-US" w:eastAsia="zh-CN"/>
        </w:rPr>
        <w:t>becomes even clearer</w:t>
      </w:r>
      <w:r w:rsidRPr="00445D24">
        <w:rPr>
          <w:lang w:val="en-US" w:eastAsia="zh-CN"/>
        </w:rPr>
        <w:t xml:space="preserve"> when a UE attaching to an mIAB node moves (together with the mIAB node) for a long time in-between multiple cells belonging to two different tracking areas</w:t>
      </w:r>
      <w:r>
        <w:rPr>
          <w:lang w:val="en-US" w:eastAsia="zh-CN"/>
        </w:rPr>
        <w:t xml:space="preserve"> (Figure 3)</w:t>
      </w:r>
      <w:r w:rsidRPr="00445D24">
        <w:rPr>
          <w:lang w:val="en-US" w:eastAsia="zh-CN"/>
        </w:rPr>
        <w:t xml:space="preserve">, where without any solutions there would be a constant amount of tracking area updates. </w:t>
      </w:r>
    </w:p>
    <w:p w14:paraId="3089EA08" w14:textId="77777777" w:rsidR="00445D24" w:rsidRDefault="00445D24" w:rsidP="00445D24">
      <w:pPr>
        <w:rPr>
          <w:lang w:val="en-US" w:eastAsia="zh-CN"/>
        </w:rPr>
      </w:pPr>
    </w:p>
    <w:p w14:paraId="35E3EF47" w14:textId="10124548" w:rsidR="00445D24" w:rsidRDefault="00894B14" w:rsidP="00894B14">
      <w:pPr>
        <w:jc w:val="center"/>
        <w:rPr>
          <w:sz w:val="24"/>
        </w:rPr>
      </w:pPr>
      <w:r>
        <w:rPr>
          <w:noProof/>
          <w:sz w:val="24"/>
          <w:lang w:eastAsia="en-GB"/>
        </w:rPr>
        <w:lastRenderedPageBreak/>
        <w:drawing>
          <wp:inline distT="0" distB="0" distL="0" distR="0" wp14:anchorId="27F88712" wp14:editId="1DB47C0B">
            <wp:extent cx="4275677" cy="4561368"/>
            <wp:effectExtent l="0" t="0" r="0" b="0"/>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4" name="example 2.png"/>
                    <pic:cNvPicPr/>
                  </pic:nvPicPr>
                  <pic:blipFill>
                    <a:blip r:embed="rId10">
                      <a:extLst>
                        <a:ext uri="{28A0092B-C50C-407E-A947-70E740481C1C}">
                          <a14:useLocalDpi xmlns:a14="http://schemas.microsoft.com/office/drawing/2010/main" val="0"/>
                        </a:ext>
                      </a:extLst>
                    </a:blip>
                    <a:stretch>
                      <a:fillRect/>
                    </a:stretch>
                  </pic:blipFill>
                  <pic:spPr>
                    <a:xfrm>
                      <a:off x="0" y="0"/>
                      <a:ext cx="4281188" cy="4567248"/>
                    </a:xfrm>
                    <a:prstGeom prst="rect">
                      <a:avLst/>
                    </a:prstGeom>
                  </pic:spPr>
                </pic:pic>
              </a:graphicData>
            </a:graphic>
          </wp:inline>
        </w:drawing>
      </w:r>
    </w:p>
    <w:p w14:paraId="045F3D61" w14:textId="77777777" w:rsidR="00F340A7" w:rsidRDefault="00F340A7" w:rsidP="00F340A7">
      <w:pPr>
        <w:jc w:val="center"/>
        <w:rPr>
          <w:lang w:val="en-US" w:eastAsia="zh-CN"/>
        </w:rPr>
      </w:pPr>
      <w:r>
        <w:rPr>
          <w:lang w:val="en-US" w:eastAsia="zh-CN"/>
        </w:rPr>
        <w:t>Figure 3</w:t>
      </w:r>
    </w:p>
    <w:p w14:paraId="54C269C2" w14:textId="17C3E594" w:rsidR="00283FB7" w:rsidRDefault="00283FB7" w:rsidP="00283FB7">
      <w:pPr>
        <w:rPr>
          <w:lang w:val="en-US" w:eastAsia="zh-CN"/>
        </w:rPr>
      </w:pPr>
      <w:r>
        <w:rPr>
          <w:lang w:val="en-US" w:eastAsia="zh-CN"/>
        </w:rPr>
        <w:t xml:space="preserve">The gist of the </w:t>
      </w:r>
      <w:r w:rsidR="000939D5">
        <w:rPr>
          <w:lang w:val="en-US" w:eastAsia="zh-CN"/>
        </w:rPr>
        <w:t>proposed approach</w:t>
      </w:r>
      <w:r>
        <w:rPr>
          <w:lang w:val="en-US" w:eastAsia="zh-CN"/>
        </w:rPr>
        <w:t xml:space="preserve"> is </w:t>
      </w:r>
      <w:r w:rsidR="00F340A7">
        <w:rPr>
          <w:lang w:val="en-US" w:eastAsia="zh-CN"/>
        </w:rPr>
        <w:t>therefore</w:t>
      </w:r>
      <w:r>
        <w:rPr>
          <w:lang w:val="en-US" w:eastAsia="zh-CN"/>
        </w:rPr>
        <w:t xml:space="preserve">: </w:t>
      </w:r>
      <w:r w:rsidRPr="00283FB7">
        <w:rPr>
          <w:lang w:val="en-US" w:eastAsia="zh-CN"/>
        </w:rPr>
        <w:t xml:space="preserve">the mIAB broadcasts two separate TACs in two fields. The first TAC field is used by legacy UEs while the other TAC field is used by </w:t>
      </w:r>
      <w:r>
        <w:rPr>
          <w:lang w:val="en-US" w:eastAsia="zh-CN"/>
        </w:rPr>
        <w:t>mIAB-</w:t>
      </w:r>
      <w:r w:rsidRPr="00283FB7">
        <w:rPr>
          <w:lang w:val="en-US" w:eastAsia="zh-CN"/>
        </w:rPr>
        <w:t>enhanced UEs.</w:t>
      </w:r>
      <w:r>
        <w:rPr>
          <w:lang w:val="en-US" w:eastAsia="zh-CN"/>
        </w:rPr>
        <w:t xml:space="preserve"> </w:t>
      </w:r>
    </w:p>
    <w:p w14:paraId="4160282B" w14:textId="047BBF5D" w:rsidR="00283FB7" w:rsidRDefault="00283FB7" w:rsidP="00283FB7">
      <w:pPr>
        <w:rPr>
          <w:lang w:val="en-US" w:eastAsia="zh-CN"/>
        </w:rPr>
      </w:pPr>
      <w:r>
        <w:rPr>
          <w:lang w:val="en-US" w:eastAsia="zh-CN"/>
        </w:rPr>
        <w:t>More specifically, when</w:t>
      </w:r>
      <w:r w:rsidRPr="00283FB7">
        <w:rPr>
          <w:lang w:val="en-US" w:eastAsia="zh-CN"/>
        </w:rPr>
        <w:t xml:space="preserve"> the mIAB </w:t>
      </w:r>
      <w:r>
        <w:rPr>
          <w:lang w:val="en-US" w:eastAsia="zh-CN"/>
        </w:rPr>
        <w:t xml:space="preserve">node </w:t>
      </w:r>
      <w:r w:rsidRPr="00283FB7">
        <w:rPr>
          <w:lang w:val="en-US" w:eastAsia="zh-CN"/>
        </w:rPr>
        <w:t>moves from a first fixed cell (cell#1 with TAC=TA1) to a second fixed cell (cell#2 with TAC=TA2), the two TACs broadcast by the mIAB both change from TA1 to TA2 at the boundary between cell#1 and cell#2. However, the TAC broadcast in the first field changes before (or after) the TAC broadcast in the second field. This means that the TAUs of the legacy UEs are performed before the TAUs of the enhanced UEs. This in turn distributes the TAUs over a time window</w:t>
      </w:r>
      <w:r w:rsidR="00E03A0B">
        <w:rPr>
          <w:lang w:val="en-US" w:eastAsia="zh-CN"/>
        </w:rPr>
        <w:t>,</w:t>
      </w:r>
      <w:r w:rsidRPr="00283FB7">
        <w:rPr>
          <w:lang w:val="en-US" w:eastAsia="zh-CN"/>
        </w:rPr>
        <w:t xml:space="preserve"> reducing the risk of network congestion.</w:t>
      </w:r>
    </w:p>
    <w:p w14:paraId="20F1DAA8" w14:textId="77777777" w:rsidR="00F340A7" w:rsidRDefault="00F340A7" w:rsidP="00283FB7">
      <w:pPr>
        <w:rPr>
          <w:lang w:val="en-US" w:eastAsia="zh-CN"/>
        </w:rPr>
      </w:pPr>
      <w:r>
        <w:rPr>
          <w:lang w:val="en-US" w:eastAsia="zh-CN"/>
        </w:rPr>
        <w:t>Based on the above we propose the following:</w:t>
      </w:r>
    </w:p>
    <w:p w14:paraId="795E1B1F" w14:textId="48C83D88" w:rsidR="00283FB7" w:rsidRDefault="00F340A7" w:rsidP="00F340A7">
      <w:pPr>
        <w:pStyle w:val="Proposal"/>
        <w:rPr>
          <w:lang w:val="en-US" w:eastAsia="zh-CN"/>
        </w:rPr>
      </w:pPr>
      <w:r>
        <w:rPr>
          <w:lang w:val="en-US" w:eastAsia="zh-CN"/>
        </w:rPr>
        <w:t>mIAB node</w:t>
      </w:r>
      <w:r w:rsidRPr="00BE16D7">
        <w:rPr>
          <w:lang w:val="en-US" w:eastAsia="zh-CN"/>
        </w:rPr>
        <w:t xml:space="preserve"> </w:t>
      </w:r>
      <w:r>
        <w:rPr>
          <w:lang w:val="en-US" w:eastAsia="zh-CN"/>
        </w:rPr>
        <w:t>shall signal</w:t>
      </w:r>
      <w:r w:rsidRPr="00BE16D7">
        <w:rPr>
          <w:lang w:val="en-US" w:eastAsia="zh-CN"/>
        </w:rPr>
        <w:t xml:space="preserve"> two different Tracking Area fields, one </w:t>
      </w:r>
      <w:r>
        <w:rPr>
          <w:lang w:val="en-US" w:eastAsia="zh-CN"/>
        </w:rPr>
        <w:t>indicating</w:t>
      </w:r>
      <w:r w:rsidRPr="00BE16D7">
        <w:rPr>
          <w:lang w:val="en-US" w:eastAsia="zh-CN"/>
        </w:rPr>
        <w:t xml:space="preserve"> </w:t>
      </w:r>
      <w:r>
        <w:rPr>
          <w:lang w:val="en-US" w:eastAsia="zh-CN"/>
        </w:rPr>
        <w:t>TA</w:t>
      </w:r>
      <w:r w:rsidRPr="00BE16D7">
        <w:rPr>
          <w:lang w:val="en-US" w:eastAsia="zh-CN"/>
        </w:rPr>
        <w:t xml:space="preserve"> for legacy UEs and one using </w:t>
      </w:r>
      <w:r>
        <w:rPr>
          <w:lang w:val="en-US" w:eastAsia="zh-CN"/>
        </w:rPr>
        <w:t xml:space="preserve">a </w:t>
      </w:r>
      <w:r w:rsidRPr="00BE16D7">
        <w:rPr>
          <w:lang w:val="en-US" w:eastAsia="zh-CN"/>
        </w:rPr>
        <w:t xml:space="preserve">new field </w:t>
      </w:r>
      <w:r>
        <w:rPr>
          <w:lang w:val="en-US" w:eastAsia="zh-CN"/>
        </w:rPr>
        <w:t>indicating TAs for mIAB-enhanced UEs.</w:t>
      </w:r>
    </w:p>
    <w:p w14:paraId="2A436807" w14:textId="77777777" w:rsidR="00F340A7" w:rsidRDefault="00F340A7" w:rsidP="00F340A7">
      <w:pPr>
        <w:pStyle w:val="Proposal"/>
        <w:rPr>
          <w:lang w:val="en-US" w:eastAsia="zh-CN"/>
        </w:rPr>
      </w:pPr>
      <w:r>
        <w:rPr>
          <w:lang w:val="en-US" w:eastAsia="zh-CN"/>
        </w:rPr>
        <w:t>RAN2 shall discuss UE behaviour upon reception of multiple TA fields.</w:t>
      </w:r>
    </w:p>
    <w:p w14:paraId="608E07FA" w14:textId="77777777" w:rsidR="00517561" w:rsidRPr="00283FB7" w:rsidRDefault="00517561" w:rsidP="00517561">
      <w:pPr>
        <w:pStyle w:val="Proposal"/>
        <w:numPr>
          <w:ilvl w:val="0"/>
          <w:numId w:val="0"/>
        </w:numPr>
        <w:ind w:start="28.40pt"/>
        <w:rPr>
          <w:lang w:val="en-US" w:eastAsia="zh-CN"/>
        </w:rPr>
      </w:pPr>
    </w:p>
    <w:p w14:paraId="76FAA071" w14:textId="77777777" w:rsidR="00BF32CB" w:rsidRDefault="00D2063A" w:rsidP="007051B9">
      <w:pPr>
        <w:pStyle w:val="Heading1"/>
        <w:rPr>
          <w:lang w:val="en-US" w:eastAsia="zh-CN"/>
        </w:rPr>
      </w:pPr>
      <w:r>
        <w:rPr>
          <w:lang w:val="en-US" w:eastAsia="zh-CN"/>
        </w:rPr>
        <w:t>Conclusions</w:t>
      </w:r>
    </w:p>
    <w:bookmarkEnd w:id="0"/>
    <w:p w14:paraId="07EA0F55" w14:textId="3A571AFA" w:rsidR="00EA5FAF" w:rsidRPr="000341F7" w:rsidRDefault="003B05E6" w:rsidP="00F93519">
      <w:pPr>
        <w:rPr>
          <w:lang w:eastAsia="zh-CN"/>
        </w:rPr>
      </w:pPr>
      <w:r>
        <w:rPr>
          <w:lang w:val="en-US" w:eastAsia="zh-CN"/>
        </w:rPr>
        <w:t xml:space="preserve">On </w:t>
      </w:r>
      <w:r w:rsidR="00E03A0B">
        <w:rPr>
          <w:lang w:val="en-US" w:eastAsia="zh-CN"/>
        </w:rPr>
        <w:t>the topic of dynamic TAC and its impact on RAN2, based on RAN3/SA2 agreements we provided an analysis of potential solutions and observed the following:</w:t>
      </w:r>
    </w:p>
    <w:p w14:paraId="02496BE5" w14:textId="77777777" w:rsidR="00E03A0B" w:rsidRPr="00E03A0B" w:rsidRDefault="00E03A0B" w:rsidP="00E03A0B">
      <w:pPr>
        <w:pStyle w:val="Observation"/>
        <w:numPr>
          <w:ilvl w:val="0"/>
          <w:numId w:val="42"/>
        </w:numPr>
        <w:rPr>
          <w:rFonts w:ascii="Times New Roman" w:hAnsi="Times New Roman"/>
          <w:lang w:val="en-US"/>
        </w:rPr>
      </w:pPr>
      <w:r w:rsidRPr="00E03A0B">
        <w:rPr>
          <w:rFonts w:ascii="Times New Roman" w:hAnsi="Times New Roman"/>
          <w:lang w:val="en-US"/>
        </w:rPr>
        <w:t xml:space="preserve">One major issue with dynamic TAC is that when the Tracking Area changes as the mIAB node moves, the UEs all have to perform TAUs at the same time when the cell changes its </w:t>
      </w:r>
      <w:r w:rsidRPr="00E03A0B">
        <w:rPr>
          <w:rFonts w:ascii="Times New Roman" w:hAnsi="Times New Roman"/>
          <w:lang w:val="en-US"/>
        </w:rPr>
        <w:lastRenderedPageBreak/>
        <w:t xml:space="preserve">Tracking Area as the network is attempting to keep the Tracking Area fixed within a given geographical area. </w:t>
      </w:r>
    </w:p>
    <w:p w14:paraId="4A0C8D94" w14:textId="77777777" w:rsidR="00E03A0B" w:rsidRPr="00517561" w:rsidRDefault="00E03A0B" w:rsidP="00E03A0B">
      <w:pPr>
        <w:pStyle w:val="Observation"/>
        <w:rPr>
          <w:rFonts w:ascii="Times New Roman" w:hAnsi="Times New Roman"/>
          <w:lang w:val="en-US"/>
        </w:rPr>
      </w:pPr>
      <w:r w:rsidRPr="00517561">
        <w:rPr>
          <w:rFonts w:ascii="Times New Roman" w:hAnsi="Times New Roman"/>
          <w:lang w:val="en-US"/>
        </w:rPr>
        <w:t>Solution</w:t>
      </w:r>
      <w:r>
        <w:rPr>
          <w:rFonts w:ascii="Times New Roman" w:hAnsi="Times New Roman"/>
          <w:lang w:val="en-US"/>
        </w:rPr>
        <w:t>s</w:t>
      </w:r>
      <w:r w:rsidRPr="00517561">
        <w:rPr>
          <w:rFonts w:ascii="Times New Roman" w:hAnsi="Times New Roman"/>
          <w:lang w:val="en-US"/>
        </w:rPr>
        <w:t xml:space="preserve"> on tracking areas </w:t>
      </w:r>
      <w:r>
        <w:rPr>
          <w:rFonts w:ascii="Times New Roman" w:hAnsi="Times New Roman"/>
          <w:lang w:val="en-US"/>
        </w:rPr>
        <w:t xml:space="preserve">to issue identified in Observation 1 </w:t>
      </w:r>
      <w:r w:rsidRPr="00517561">
        <w:rPr>
          <w:rFonts w:ascii="Times New Roman" w:hAnsi="Times New Roman"/>
          <w:lang w:val="en-US"/>
        </w:rPr>
        <w:t>should still be able to serve legacy UEs.</w:t>
      </w:r>
    </w:p>
    <w:p w14:paraId="3313905A" w14:textId="5C931345" w:rsidR="00E03A0B" w:rsidRDefault="00E03A0B" w:rsidP="00B40BF6">
      <w:pPr>
        <w:rPr>
          <w:lang w:val="en-US" w:eastAsia="zh-CN"/>
        </w:rPr>
      </w:pPr>
      <w:r>
        <w:rPr>
          <w:lang w:val="en-US" w:eastAsia="zh-CN"/>
        </w:rPr>
        <w:t>We then made the following proposals for RAN2’s consideration:</w:t>
      </w:r>
    </w:p>
    <w:p w14:paraId="6E768438" w14:textId="77777777" w:rsidR="00E03A0B" w:rsidRPr="00E03A0B" w:rsidRDefault="00E03A0B" w:rsidP="00E03A0B">
      <w:pPr>
        <w:pStyle w:val="Proposal"/>
        <w:numPr>
          <w:ilvl w:val="0"/>
          <w:numId w:val="43"/>
        </w:numPr>
        <w:rPr>
          <w:lang w:val="en-US" w:eastAsia="zh-CN"/>
        </w:rPr>
      </w:pPr>
      <w:r w:rsidRPr="00E03A0B">
        <w:rPr>
          <w:lang w:val="en-US" w:eastAsia="zh-CN"/>
        </w:rPr>
        <w:t>mIAB node shall signal two different Tracking Area fields, one indicating TA for legacy UEs and one using a new field indicating TAs for mIAB-enhanced UEs.</w:t>
      </w:r>
    </w:p>
    <w:p w14:paraId="53BB388D" w14:textId="77777777" w:rsidR="00E03A0B" w:rsidRDefault="00E03A0B" w:rsidP="00E03A0B">
      <w:pPr>
        <w:pStyle w:val="Proposal"/>
        <w:rPr>
          <w:lang w:val="en-US" w:eastAsia="zh-CN"/>
        </w:rPr>
      </w:pPr>
      <w:r>
        <w:rPr>
          <w:lang w:val="en-US" w:eastAsia="zh-CN"/>
        </w:rPr>
        <w:t>RAN2 shall discuss UE behaviour upon reception of multiple TA fields.</w:t>
      </w:r>
    </w:p>
    <w:p w14:paraId="11572FF6" w14:textId="77777777" w:rsidR="00E03A0B" w:rsidRPr="00B40BF6" w:rsidRDefault="00E03A0B" w:rsidP="00B40BF6">
      <w:pPr>
        <w:rPr>
          <w:lang w:val="en-US" w:eastAsia="zh-CN"/>
        </w:rPr>
      </w:pPr>
    </w:p>
    <w:sectPr w:rsidR="00E03A0B" w:rsidRPr="00B40BF6" w:rsidSect="00A17A65">
      <w:footnotePr>
        <w:numRestart w:val="eachSect"/>
      </w:footnotePr>
      <w:pgSz w:w="595.35pt" w:h="842pt" w:code="9"/>
      <w:pgMar w:top="72pt" w:right="72pt" w:bottom="72pt" w:left="72pt" w:header="42.50pt" w:footer="17pt" w:gutter="0pt"/>
      <w:cols w:space="36pt"/>
      <w:formProt w:val="0"/>
      <w:docGrid w:linePitch="272"/>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20F3109F" w14:textId="77777777" w:rsidR="00D7332E" w:rsidRDefault="00D7332E">
      <w:r>
        <w:separator/>
      </w:r>
    </w:p>
  </w:endnote>
  <w:endnote w:type="continuationSeparator" w:id="0">
    <w:p w14:paraId="29E37918" w14:textId="77777777" w:rsidR="00D7332E" w:rsidRDefault="00D7332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SimSun">
    <w:altName w:val="宋体"/>
    <w:panose1 w:val="02010600030101010101"/>
    <w:charset w:characterSet="GBK"/>
    <w:family w:val="auto"/>
    <w:notTrueType/>
    <w:pitch w:val="variable"/>
    <w:sig w:usb0="00000001" w:usb1="080E0000" w:usb2="00000010" w:usb3="00000000" w:csb0="00040000" w:csb1="00000000"/>
  </w:font>
  <w:font w:name="Arial">
    <w:panose1 w:val="020B0604020202020204"/>
    <w:charset w:characterSet="iso-8859-1"/>
    <w:family w:val="swiss"/>
    <w:pitch w:val="variable"/>
    <w:sig w:usb0="E0002EFF" w:usb1="C000785B" w:usb2="00000009" w:usb3="00000000" w:csb0="000001FF" w:csb1="00000000"/>
  </w:font>
  <w:font w:name="SimHei">
    <w:altName w:val="黑体"/>
    <w:panose1 w:val="02010600030101010101"/>
    <w:charset w:characterSet="GBK"/>
    <w:family w:val="modern"/>
    <w:notTrueType/>
    <w:pitch w:val="fixed"/>
    <w:sig w:usb0="00000001" w:usb1="080E0000" w:usb2="00000010" w:usb3="00000000" w:csb0="00040000" w:csb1="00000000"/>
  </w:font>
  <w:font w:name="Wingdings">
    <w:panose1 w:val="05000000000000000000"/>
    <w:family w:val="auto"/>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ZapfDingbats">
    <w:altName w:val="Wingdings"/>
    <w:charset w:characterSet="iso-8859-1"/>
    <w:family w:val="decorative"/>
    <w:pitch w:val="default"/>
    <w:sig w:usb0="00000000" w:usb1="00000000" w:usb2="00000000" w:usb3="00000000" w:csb0="80000000"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MS LineDraw">
    <w:altName w:val="Courier Ne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Helvetica">
    <w:panose1 w:val="020B0604020202020204"/>
    <w:charset w:characterSet="iso-8859-1"/>
    <w:family w:val="swiss"/>
    <w:notTrueType/>
    <w:pitch w:val="variable"/>
    <w:sig w:usb0="00000003" w:usb1="00000000" w:usb2="00000000" w:usb3="00000000" w:csb0="00000001" w:csb1="00000000"/>
  </w:font>
  <w:font w:name="Cambria">
    <w:panose1 w:val="02040503050406030204"/>
    <w:charset w:characterSet="iso-8859-1"/>
    <w:family w:val="roman"/>
    <w:pitch w:val="variable"/>
    <w:sig w:usb0="E00006FF" w:usb1="420024FF" w:usb2="02000000" w:usb3="00000000" w:csb0="0000019F" w:csb1="00000000"/>
  </w:font>
  <w:font w:name="Calibri">
    <w:panose1 w:val="020F0502020204030204"/>
    <w:charset w:characterSet="iso-8859-1"/>
    <w:family w:val="swiss"/>
    <w:pitch w:val="variable"/>
    <w:sig w:usb0="E4002EFF" w:usb1="C000247B" w:usb2="00000009" w:usb3="00000000" w:csb0="000001FF"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DengXian Light">
    <w:altName w:val="等线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DengXian">
    <w:altName w:val="等线"/>
    <w:charset w:characterSet="GBK"/>
    <w:family w:val="auto"/>
    <w:pitch w:val="variable"/>
    <w:sig w:usb0="A00002BF" w:usb1="38CF7CFA" w:usb2="00000016" w:usb3="00000000" w:csb0="0004000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1FB776AA" w14:textId="77777777" w:rsidR="00D7332E" w:rsidRDefault="00D7332E">
      <w:r>
        <w:separator/>
      </w:r>
    </w:p>
  </w:footnote>
  <w:footnote w:type="continuationSeparator" w:id="0">
    <w:p w14:paraId="0A0D3D75" w14:textId="77777777" w:rsidR="00D7332E" w:rsidRDefault="00D7332E">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numPicBullet w:numPicBulletId="0">
    <mc:AlternateContent>
      <mc:Choice Requires="v">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7pt;height:67pt" o:bullet="t">
            <v:imagedata r:id="rId1" o:title="artFE9"/>
          </v:shape>
        </w:pict>
      </mc:Choice>
      <mc:Fallback>
        <w:drawing>
          <wp:inline distT="0" distB="0" distL="0" distR="0" wp14:anchorId="101D6BD9" wp14:editId="46530249">
            <wp:extent cx="850900" cy="850900"/>
            <wp:effectExtent l="0" t="0" r="6350" b="6350"/>
            <wp:docPr id="3" name="Picture 3" descr="artFE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descr="artFE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0900" cy="850900"/>
                    </a:xfrm>
                    <a:prstGeom prst="rect">
                      <a:avLst/>
                    </a:prstGeom>
                    <a:noFill/>
                    <a:ln>
                      <a:noFill/>
                    </a:ln>
                  </pic:spPr>
                </pic:pic>
              </a:graphicData>
            </a:graphic>
          </wp:inline>
        </w:drawing>
      </mc:Fallback>
    </mc:AlternateContent>
  </w:numPicBullet>
  <w:abstractNum w:abstractNumId="0" w15:restartNumberingAfterBreak="0">
    <w:nsid w:val="08C81311"/>
    <w:multiLevelType w:val="multilevel"/>
    <w:tmpl w:val="9DCE5D62"/>
    <w:styleLink w:val="2"/>
    <w:lvl w:ilvl="0">
      <w:start w:val="1"/>
      <w:numFmt w:val="decimal"/>
      <w:lvlText w:val="%1)"/>
      <w:lvlJc w:val="start"/>
      <w:pPr>
        <w:tabs>
          <w:tab w:val="num" w:pos="56.20pt"/>
        </w:tabs>
        <w:ind w:start="56.20pt" w:hanging="21pt"/>
      </w:pPr>
      <w:rPr>
        <w:rFonts w:eastAsia="SimSun"/>
      </w:rPr>
    </w:lvl>
    <w:lvl w:ilvl="1">
      <w:start w:val="1"/>
      <w:numFmt w:val="lowerLetter"/>
      <w:lvlText w:val="%2)"/>
      <w:lvlJc w:val="start"/>
      <w:pPr>
        <w:tabs>
          <w:tab w:val="num" w:pos="42pt"/>
        </w:tabs>
        <w:ind w:start="42pt" w:hanging="21pt"/>
      </w:pPr>
    </w:lvl>
    <w:lvl w:ilvl="2">
      <w:start w:val="1"/>
      <w:numFmt w:val="lowerRoman"/>
      <w:lvlText w:val="%3."/>
      <w:lvlJc w:val="end"/>
      <w:pPr>
        <w:tabs>
          <w:tab w:val="num" w:pos="63pt"/>
        </w:tabs>
        <w:ind w:start="63pt" w:hanging="21pt"/>
      </w:pPr>
    </w:lvl>
    <w:lvl w:ilvl="3">
      <w:start w:val="1"/>
      <w:numFmt w:val="decimal"/>
      <w:lvlText w:val="%4."/>
      <w:lvlJc w:val="start"/>
      <w:pPr>
        <w:tabs>
          <w:tab w:val="num" w:pos="84pt"/>
        </w:tabs>
        <w:ind w:start="84pt" w:hanging="21pt"/>
      </w:pPr>
    </w:lvl>
    <w:lvl w:ilvl="4">
      <w:start w:val="1"/>
      <w:numFmt w:val="lowerLetter"/>
      <w:lvlText w:val="%5)"/>
      <w:lvlJc w:val="start"/>
      <w:pPr>
        <w:tabs>
          <w:tab w:val="num" w:pos="105pt"/>
        </w:tabs>
        <w:ind w:start="105pt" w:hanging="21pt"/>
      </w:pPr>
    </w:lvl>
    <w:lvl w:ilvl="5">
      <w:start w:val="1"/>
      <w:numFmt w:val="lowerRoman"/>
      <w:lvlText w:val="%6."/>
      <w:lvlJc w:val="end"/>
      <w:pPr>
        <w:tabs>
          <w:tab w:val="num" w:pos="126pt"/>
        </w:tabs>
        <w:ind w:start="126pt" w:hanging="21pt"/>
      </w:pPr>
    </w:lvl>
    <w:lvl w:ilvl="6">
      <w:start w:val="1"/>
      <w:numFmt w:val="decimal"/>
      <w:lvlText w:val="%7."/>
      <w:lvlJc w:val="start"/>
      <w:pPr>
        <w:tabs>
          <w:tab w:val="num" w:pos="147pt"/>
        </w:tabs>
        <w:ind w:start="147pt" w:hanging="21pt"/>
      </w:pPr>
    </w:lvl>
    <w:lvl w:ilvl="7">
      <w:start w:val="1"/>
      <w:numFmt w:val="lowerLetter"/>
      <w:lvlText w:val="%8)"/>
      <w:lvlJc w:val="start"/>
      <w:pPr>
        <w:tabs>
          <w:tab w:val="num" w:pos="168pt"/>
        </w:tabs>
        <w:ind w:start="168pt" w:hanging="21pt"/>
      </w:pPr>
    </w:lvl>
    <w:lvl w:ilvl="8">
      <w:start w:val="1"/>
      <w:numFmt w:val="lowerRoman"/>
      <w:lvlText w:val="%9."/>
      <w:lvlJc w:val="end"/>
      <w:pPr>
        <w:tabs>
          <w:tab w:val="num" w:pos="189pt"/>
        </w:tabs>
        <w:ind w:start="189pt" w:hanging="21pt"/>
      </w:pPr>
    </w:lvl>
  </w:abstractNum>
  <w:abstractNum w:abstractNumId="1" w15:restartNumberingAfterBreak="0">
    <w:nsid w:val="0BDD5F2B"/>
    <w:multiLevelType w:val="multilevel"/>
    <w:tmpl w:val="3F18EDBA"/>
    <w:lvl w:ilvl="0">
      <w:start w:val="1"/>
      <w:numFmt w:val="decimal"/>
      <w:pStyle w:val="Heading1"/>
      <w:suff w:val="nothing"/>
      <w:lvlText w:val="%1  "/>
      <w:lvlJc w:val="start"/>
      <w:pPr>
        <w:ind w:start="0pt" w:firstLine="0pt"/>
      </w:pPr>
      <w:rPr>
        <w:rFonts w:ascii="Arial" w:eastAsia="SimHei" w:hAnsi="Arial" w:hint="default"/>
        <w:b w:val="0"/>
        <w:i w:val="0"/>
        <w:sz w:val="36"/>
        <w:szCs w:val="36"/>
        <w:lang w:val="en-US"/>
      </w:rPr>
    </w:lvl>
    <w:lvl w:ilvl="1">
      <w:start w:val="1"/>
      <w:numFmt w:val="decimal"/>
      <w:pStyle w:val="Heading2"/>
      <w:suff w:val="nothing"/>
      <w:lvlText w:val="%1.%2  "/>
      <w:lvlJc w:val="start"/>
      <w:pPr>
        <w:ind w:start="14.20pt" w:firstLine="0pt"/>
      </w:pPr>
      <w:rPr>
        <w:rFonts w:ascii="Arial" w:hAnsi="Arial" w:hint="default"/>
        <w:b w:val="0"/>
        <w:i w:val="0"/>
        <w:sz w:val="30"/>
        <w:szCs w:val="30"/>
      </w:rPr>
    </w:lvl>
    <w:lvl w:ilvl="2">
      <w:start w:val="1"/>
      <w:numFmt w:val="decimal"/>
      <w:pStyle w:val="Heading3"/>
      <w:suff w:val="nothing"/>
      <w:lvlText w:val="%1.%2.%3  "/>
      <w:lvlJc w:val="start"/>
      <w:pPr>
        <w:ind w:start="148.90pt" w:firstLine="0pt"/>
      </w:pPr>
      <w:rPr>
        <w:rFonts w:ascii="Arial" w:hAnsi="Arial" w:hint="default"/>
        <w:b/>
        <w:i w:val="0"/>
        <w:sz w:val="21"/>
        <w:szCs w:val="21"/>
      </w:rPr>
    </w:lvl>
    <w:lvl w:ilvl="3">
      <w:start w:val="1"/>
      <w:numFmt w:val="decimal"/>
      <w:pStyle w:val="Heading4"/>
      <w:suff w:val="nothing"/>
      <w:lvlText w:val="%1.%2.%3.%4  "/>
      <w:lvlJc w:val="start"/>
      <w:pPr>
        <w:ind w:start="0pt" w:firstLine="0pt"/>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start"/>
      <w:pPr>
        <w:tabs>
          <w:tab w:val="num" w:pos="56.70pt"/>
        </w:tabs>
        <w:ind w:start="56.70pt" w:hanging="15.60pt"/>
      </w:pPr>
      <w:rPr>
        <w:rFonts w:ascii="Arial" w:hAnsi="Arial" w:hint="default"/>
        <w:b w:val="0"/>
        <w:i w:val="0"/>
        <w:sz w:val="21"/>
        <w:szCs w:val="21"/>
      </w:rPr>
    </w:lvl>
    <w:lvl w:ilvl="5">
      <w:start w:val="1"/>
      <w:numFmt w:val="decimal"/>
      <w:lvlText w:val="%6)"/>
      <w:lvlJc w:val="start"/>
      <w:pPr>
        <w:tabs>
          <w:tab w:val="num" w:pos="56.70pt"/>
        </w:tabs>
        <w:ind w:start="56.70pt" w:hanging="15.60pt"/>
      </w:pPr>
      <w:rPr>
        <w:rFonts w:ascii="Arial" w:hAnsi="Arial" w:hint="default"/>
        <w:b w:val="0"/>
        <w:i w:val="0"/>
        <w:sz w:val="21"/>
        <w:szCs w:val="21"/>
      </w:rPr>
    </w:lvl>
    <w:lvl w:ilvl="6">
      <w:start w:val="1"/>
      <w:numFmt w:val="lowerLetter"/>
      <w:lvlText w:val="%7."/>
      <w:lvlJc w:val="start"/>
      <w:pPr>
        <w:tabs>
          <w:tab w:val="num" w:pos="69.60pt"/>
        </w:tabs>
        <w:ind w:start="69.60pt" w:hanging="15.60pt"/>
      </w:pPr>
      <w:rPr>
        <w:rFonts w:ascii="Arial" w:hAnsi="Arial" w:hint="default"/>
        <w:b w:val="0"/>
        <w:i w:val="0"/>
        <w:sz w:val="21"/>
        <w:szCs w:val="21"/>
      </w:rPr>
    </w:lvl>
    <w:lvl w:ilvl="7">
      <w:start w:val="1"/>
      <w:numFmt w:val="decimal"/>
      <w:lvlRestart w:val="0"/>
      <w:pStyle w:val="a"/>
      <w:suff w:val="space"/>
      <w:lvlText w:val="Figure %8"/>
      <w:lvlJc w:val="center"/>
      <w:pPr>
        <w:ind w:start="0pt" w:firstLine="0pt"/>
      </w:pPr>
      <w:rPr>
        <w:rFonts w:ascii="Arial" w:eastAsia="SimHei" w:hAnsi="Arial" w:hint="default"/>
        <w:b w:val="0"/>
        <w:i w:val="0"/>
        <w:sz w:val="18"/>
        <w:szCs w:val="18"/>
      </w:rPr>
    </w:lvl>
    <w:lvl w:ilvl="8">
      <w:start w:val="1"/>
      <w:numFmt w:val="decimal"/>
      <w:lvlRestart w:val="0"/>
      <w:pStyle w:val="a0"/>
      <w:suff w:val="space"/>
      <w:lvlText w:val="表%9"/>
      <w:lvlJc w:val="center"/>
      <w:pPr>
        <w:ind w:start="0pt" w:firstLine="0pt"/>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start"/>
      <w:pPr>
        <w:tabs>
          <w:tab w:val="num" w:pos="21.25pt"/>
        </w:tabs>
        <w:ind w:start="21.25pt" w:hanging="21.25pt"/>
      </w:pPr>
      <w:rPr>
        <w:rFonts w:hint="eastAsia"/>
      </w:rPr>
    </w:lvl>
    <w:lvl w:ilvl="1">
      <w:start w:val="1"/>
      <w:numFmt w:val="decimal"/>
      <w:lvlText w:val="%1.%2"/>
      <w:lvlJc w:val="start"/>
      <w:pPr>
        <w:tabs>
          <w:tab w:val="num" w:pos="57.25pt"/>
        </w:tabs>
        <w:ind w:start="49.60pt" w:hanging="28.35pt"/>
      </w:pPr>
      <w:rPr>
        <w:rFonts w:hint="eastAsia"/>
      </w:rPr>
    </w:lvl>
    <w:lvl w:ilvl="2">
      <w:start w:val="1"/>
      <w:numFmt w:val="decimal"/>
      <w:lvlText w:val="%1.%2.%3"/>
      <w:lvlJc w:val="start"/>
      <w:pPr>
        <w:tabs>
          <w:tab w:val="num" w:pos="96.55pt"/>
        </w:tabs>
        <w:ind w:start="70.90pt" w:hanging="28.35pt"/>
      </w:pPr>
      <w:rPr>
        <w:rFonts w:hint="eastAsia"/>
      </w:rPr>
    </w:lvl>
    <w:lvl w:ilvl="3">
      <w:start w:val="1"/>
      <w:numFmt w:val="decimal"/>
      <w:lvlText w:val="%3.%1.%2.%4"/>
      <w:lvlJc w:val="start"/>
      <w:pPr>
        <w:tabs>
          <w:tab w:val="num" w:pos="135.80pt"/>
        </w:tabs>
        <w:ind w:start="99.20pt" w:hanging="35.40pt"/>
      </w:pPr>
      <w:rPr>
        <w:rFonts w:hint="eastAsia"/>
      </w:rPr>
    </w:lvl>
    <w:lvl w:ilvl="4">
      <w:start w:val="1"/>
      <w:numFmt w:val="decimal"/>
      <w:lvlText w:val="%1.%2.%3.%4.%5"/>
      <w:lvlJc w:val="start"/>
      <w:pPr>
        <w:tabs>
          <w:tab w:val="num" w:pos="175.05pt"/>
        </w:tabs>
        <w:ind w:start="127.55pt" w:hanging="42.50pt"/>
      </w:pPr>
      <w:rPr>
        <w:rFonts w:hint="eastAsia"/>
      </w:rPr>
    </w:lvl>
    <w:lvl w:ilvl="5">
      <w:start w:val="1"/>
      <w:numFmt w:val="decimal"/>
      <w:lvlText w:val="%1.%2.%3.%4.%5.%6"/>
      <w:lvlJc w:val="start"/>
      <w:pPr>
        <w:tabs>
          <w:tab w:val="num" w:pos="214.30pt"/>
        </w:tabs>
        <w:ind w:start="163pt" w:hanging="56.70pt"/>
      </w:pPr>
      <w:rPr>
        <w:rFonts w:hint="eastAsia"/>
      </w:rPr>
    </w:lvl>
    <w:lvl w:ilvl="6">
      <w:start w:val="1"/>
      <w:numFmt w:val="decimal"/>
      <w:lvlText w:val="%1.%2.%3.%4.%5.%6.%7"/>
      <w:lvlJc w:val="start"/>
      <w:pPr>
        <w:tabs>
          <w:tab w:val="num" w:pos="253.55pt"/>
        </w:tabs>
        <w:ind w:start="191.35pt" w:hanging="63.80pt"/>
      </w:pPr>
      <w:rPr>
        <w:rFonts w:hint="eastAsia"/>
      </w:rPr>
    </w:lvl>
    <w:lvl w:ilvl="7">
      <w:start w:val="1"/>
      <w:numFmt w:val="decimal"/>
      <w:lvlText w:val="%1.%2.%3.%4.%5.%6.%7.%8"/>
      <w:lvlJc w:val="start"/>
      <w:pPr>
        <w:tabs>
          <w:tab w:val="num" w:pos="292.80pt"/>
        </w:tabs>
        <w:ind w:start="219.70pt" w:hanging="70.90pt"/>
      </w:pPr>
      <w:rPr>
        <w:rFonts w:hint="eastAsia"/>
      </w:rPr>
    </w:lvl>
    <w:lvl w:ilvl="8">
      <w:start w:val="1"/>
      <w:numFmt w:val="decimal"/>
      <w:lvlText w:val="%1.%2.%3.%4.%5.%6.%7.%8.%9"/>
      <w:lvlJc w:val="start"/>
      <w:pPr>
        <w:tabs>
          <w:tab w:val="num" w:pos="332.10pt"/>
        </w:tabs>
        <w:ind w:start="255.10pt" w:hanging="85pt"/>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start"/>
      <w:pPr>
        <w:tabs>
          <w:tab w:val="num" w:pos="70.90pt"/>
        </w:tabs>
        <w:ind w:start="70.90pt" w:hanging="21pt"/>
      </w:pPr>
      <w:rPr>
        <w:rFonts w:ascii="Wingdings" w:hAnsi="Wingdings" w:hint="default"/>
      </w:rPr>
    </w:lvl>
    <w:lvl w:ilvl="1" w:tplc="04090003" w:tentative="1">
      <w:start w:val="1"/>
      <w:numFmt w:val="bullet"/>
      <w:lvlText w:val=""/>
      <w:lvlJc w:val="start"/>
      <w:pPr>
        <w:tabs>
          <w:tab w:val="num" w:pos="42pt"/>
        </w:tabs>
        <w:ind w:start="42pt" w:hanging="21pt"/>
      </w:pPr>
      <w:rPr>
        <w:rFonts w:ascii="Wingdings" w:hAnsi="Wingdings" w:hint="default"/>
      </w:rPr>
    </w:lvl>
    <w:lvl w:ilvl="2" w:tplc="04090005" w:tentative="1">
      <w:start w:val="1"/>
      <w:numFmt w:val="bullet"/>
      <w:lvlText w:val=""/>
      <w:lvlJc w:val="start"/>
      <w:pPr>
        <w:tabs>
          <w:tab w:val="num" w:pos="63pt"/>
        </w:tabs>
        <w:ind w:start="63pt" w:hanging="21pt"/>
      </w:pPr>
      <w:rPr>
        <w:rFonts w:ascii="Wingdings" w:hAnsi="Wingdings" w:hint="default"/>
      </w:rPr>
    </w:lvl>
    <w:lvl w:ilvl="3" w:tplc="04090001" w:tentative="1">
      <w:start w:val="1"/>
      <w:numFmt w:val="bullet"/>
      <w:lvlText w:val=""/>
      <w:lvlJc w:val="start"/>
      <w:pPr>
        <w:tabs>
          <w:tab w:val="num" w:pos="84pt"/>
        </w:tabs>
        <w:ind w:start="84pt" w:hanging="21pt"/>
      </w:pPr>
      <w:rPr>
        <w:rFonts w:ascii="Wingdings" w:hAnsi="Wingdings" w:hint="default"/>
      </w:rPr>
    </w:lvl>
    <w:lvl w:ilvl="4" w:tplc="04090003" w:tentative="1">
      <w:start w:val="1"/>
      <w:numFmt w:val="bullet"/>
      <w:lvlText w:val=""/>
      <w:lvlJc w:val="start"/>
      <w:pPr>
        <w:tabs>
          <w:tab w:val="num" w:pos="105pt"/>
        </w:tabs>
        <w:ind w:start="105pt" w:hanging="21pt"/>
      </w:pPr>
      <w:rPr>
        <w:rFonts w:ascii="Wingdings" w:hAnsi="Wingdings" w:hint="default"/>
      </w:rPr>
    </w:lvl>
    <w:lvl w:ilvl="5" w:tplc="04090005" w:tentative="1">
      <w:start w:val="1"/>
      <w:numFmt w:val="bullet"/>
      <w:lvlText w:val=""/>
      <w:lvlJc w:val="start"/>
      <w:pPr>
        <w:tabs>
          <w:tab w:val="num" w:pos="126pt"/>
        </w:tabs>
        <w:ind w:start="126pt" w:hanging="21pt"/>
      </w:pPr>
      <w:rPr>
        <w:rFonts w:ascii="Wingdings" w:hAnsi="Wingdings" w:hint="default"/>
      </w:rPr>
    </w:lvl>
    <w:lvl w:ilvl="6" w:tplc="04090001" w:tentative="1">
      <w:start w:val="1"/>
      <w:numFmt w:val="bullet"/>
      <w:lvlText w:val=""/>
      <w:lvlJc w:val="start"/>
      <w:pPr>
        <w:tabs>
          <w:tab w:val="num" w:pos="147pt"/>
        </w:tabs>
        <w:ind w:start="147pt" w:hanging="21pt"/>
      </w:pPr>
      <w:rPr>
        <w:rFonts w:ascii="Wingdings" w:hAnsi="Wingdings" w:hint="default"/>
      </w:rPr>
    </w:lvl>
    <w:lvl w:ilvl="7" w:tplc="04090003" w:tentative="1">
      <w:start w:val="1"/>
      <w:numFmt w:val="bullet"/>
      <w:lvlText w:val=""/>
      <w:lvlJc w:val="start"/>
      <w:pPr>
        <w:tabs>
          <w:tab w:val="num" w:pos="168pt"/>
        </w:tabs>
        <w:ind w:start="168pt" w:hanging="21pt"/>
      </w:pPr>
      <w:rPr>
        <w:rFonts w:ascii="Wingdings" w:hAnsi="Wingdings" w:hint="default"/>
      </w:rPr>
    </w:lvl>
    <w:lvl w:ilvl="8" w:tplc="04090005" w:tentative="1">
      <w:start w:val="1"/>
      <w:numFmt w:val="bullet"/>
      <w:lvlText w:val=""/>
      <w:lvlJc w:val="start"/>
      <w:pPr>
        <w:tabs>
          <w:tab w:val="num" w:pos="189pt"/>
        </w:tabs>
        <w:ind w:start="189pt" w:hanging="21pt"/>
      </w:pPr>
      <w:rPr>
        <w:rFonts w:ascii="Wingdings" w:hAnsi="Wingdings" w:hint="default"/>
      </w:rPr>
    </w:lvl>
  </w:abstractNum>
  <w:abstractNum w:abstractNumId="4" w15:restartNumberingAfterBreak="0">
    <w:nsid w:val="33B0212E"/>
    <w:multiLevelType w:val="hybridMultilevel"/>
    <w:tmpl w:val="0032DE44"/>
    <w:lvl w:ilvl="0" w:tplc="F9B8CBA4">
      <w:start w:val="5"/>
      <w:numFmt w:val="bullet"/>
      <w:lvlText w:val="-"/>
      <w:lvlJc w:val="start"/>
      <w:pPr>
        <w:ind w:start="36pt" w:hanging="18pt"/>
      </w:pPr>
      <w:rPr>
        <w:rFonts w:ascii="Times New Roman" w:eastAsia="SimSun" w:hAnsi="Times New Roman" w:cs="Times New Roman"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5" w15:restartNumberingAfterBreak="0">
    <w:nsid w:val="36A34518"/>
    <w:multiLevelType w:val="hybridMultilevel"/>
    <w:tmpl w:val="DAA69EB0"/>
    <w:lvl w:ilvl="0" w:tplc="429E026E">
      <w:start w:val="1"/>
      <w:numFmt w:val="decimal"/>
      <w:pStyle w:val="Proposal"/>
      <w:lvlText w:val="Proposal %1:"/>
      <w:lvlJc w:val="start"/>
      <w:pPr>
        <w:ind w:start="28.40pt" w:hanging="18pt"/>
      </w:pPr>
      <w:rPr>
        <w:rFonts w:hint="default"/>
      </w:rPr>
    </w:lvl>
    <w:lvl w:ilvl="1" w:tplc="041D0019" w:tentative="1">
      <w:start w:val="1"/>
      <w:numFmt w:val="lowerLetter"/>
      <w:lvlText w:val="%2."/>
      <w:lvlJc w:val="start"/>
      <w:pPr>
        <w:ind w:start="64.40pt" w:hanging="18pt"/>
      </w:pPr>
    </w:lvl>
    <w:lvl w:ilvl="2" w:tplc="041D001B" w:tentative="1">
      <w:start w:val="1"/>
      <w:numFmt w:val="lowerRoman"/>
      <w:lvlText w:val="%3."/>
      <w:lvlJc w:val="end"/>
      <w:pPr>
        <w:ind w:start="100.40pt" w:hanging="9pt"/>
      </w:pPr>
    </w:lvl>
    <w:lvl w:ilvl="3" w:tplc="041D000F" w:tentative="1">
      <w:start w:val="1"/>
      <w:numFmt w:val="decimal"/>
      <w:lvlText w:val="%4."/>
      <w:lvlJc w:val="start"/>
      <w:pPr>
        <w:ind w:start="136.40pt" w:hanging="18pt"/>
      </w:pPr>
    </w:lvl>
    <w:lvl w:ilvl="4" w:tplc="041D0019" w:tentative="1">
      <w:start w:val="1"/>
      <w:numFmt w:val="lowerLetter"/>
      <w:lvlText w:val="%5."/>
      <w:lvlJc w:val="start"/>
      <w:pPr>
        <w:ind w:start="172.40pt" w:hanging="18pt"/>
      </w:pPr>
    </w:lvl>
    <w:lvl w:ilvl="5" w:tplc="041D001B" w:tentative="1">
      <w:start w:val="1"/>
      <w:numFmt w:val="lowerRoman"/>
      <w:lvlText w:val="%6."/>
      <w:lvlJc w:val="end"/>
      <w:pPr>
        <w:ind w:start="208.40pt" w:hanging="9pt"/>
      </w:pPr>
    </w:lvl>
    <w:lvl w:ilvl="6" w:tplc="041D000F" w:tentative="1">
      <w:start w:val="1"/>
      <w:numFmt w:val="decimal"/>
      <w:lvlText w:val="%7."/>
      <w:lvlJc w:val="start"/>
      <w:pPr>
        <w:ind w:start="244.40pt" w:hanging="18pt"/>
      </w:pPr>
    </w:lvl>
    <w:lvl w:ilvl="7" w:tplc="041D0019" w:tentative="1">
      <w:start w:val="1"/>
      <w:numFmt w:val="lowerLetter"/>
      <w:lvlText w:val="%8."/>
      <w:lvlJc w:val="start"/>
      <w:pPr>
        <w:ind w:start="280.40pt" w:hanging="18pt"/>
      </w:pPr>
    </w:lvl>
    <w:lvl w:ilvl="8" w:tplc="041D001B" w:tentative="1">
      <w:start w:val="1"/>
      <w:numFmt w:val="lowerRoman"/>
      <w:lvlText w:val="%9."/>
      <w:lvlJc w:val="end"/>
      <w:pPr>
        <w:ind w:start="316.40pt" w:hanging="9pt"/>
      </w:pPr>
    </w:lvl>
  </w:abstractNum>
  <w:abstractNum w:abstractNumId="6" w15:restartNumberingAfterBreak="0">
    <w:nsid w:val="44DB417B"/>
    <w:multiLevelType w:val="hybridMultilevel"/>
    <w:tmpl w:val="A656D980"/>
    <w:lvl w:ilvl="0" w:tplc="72B29DF6">
      <w:start w:val="1"/>
      <w:numFmt w:val="decimal"/>
      <w:pStyle w:val="20"/>
      <w:lvlText w:val="%1."/>
      <w:lvlJc w:val="start"/>
      <w:pPr>
        <w:tabs>
          <w:tab w:val="num" w:pos="42pt"/>
        </w:tabs>
        <w:ind w:start="78pt" w:hanging="36pt"/>
      </w:pPr>
      <w:rPr>
        <w:rFonts w:ascii="Times New Roman" w:eastAsia="SimSun" w:hAnsi="Times New Roman" w:cs="Times New Roman" w:hint="default"/>
      </w:rPr>
    </w:lvl>
    <w:lvl w:ilvl="1" w:tplc="842C1934" w:tentative="1">
      <w:start w:val="1"/>
      <w:numFmt w:val="lowerLetter"/>
      <w:lvlText w:val="%2)"/>
      <w:lvlJc w:val="start"/>
      <w:pPr>
        <w:tabs>
          <w:tab w:val="num" w:pos="42pt"/>
        </w:tabs>
        <w:ind w:start="42pt" w:hanging="21pt"/>
      </w:pPr>
    </w:lvl>
    <w:lvl w:ilvl="2" w:tplc="65DE8174" w:tentative="1">
      <w:start w:val="1"/>
      <w:numFmt w:val="lowerRoman"/>
      <w:lvlText w:val="%3."/>
      <w:lvlJc w:val="end"/>
      <w:pPr>
        <w:tabs>
          <w:tab w:val="num" w:pos="63pt"/>
        </w:tabs>
        <w:ind w:start="63pt" w:hanging="21pt"/>
      </w:pPr>
    </w:lvl>
    <w:lvl w:ilvl="3" w:tplc="CA4C5462" w:tentative="1">
      <w:start w:val="1"/>
      <w:numFmt w:val="decimal"/>
      <w:lvlText w:val="%4."/>
      <w:lvlJc w:val="start"/>
      <w:pPr>
        <w:tabs>
          <w:tab w:val="num" w:pos="84pt"/>
        </w:tabs>
        <w:ind w:start="84pt" w:hanging="21pt"/>
      </w:pPr>
    </w:lvl>
    <w:lvl w:ilvl="4" w:tplc="8CC4C9B2" w:tentative="1">
      <w:start w:val="1"/>
      <w:numFmt w:val="lowerLetter"/>
      <w:lvlText w:val="%5)"/>
      <w:lvlJc w:val="start"/>
      <w:pPr>
        <w:tabs>
          <w:tab w:val="num" w:pos="105pt"/>
        </w:tabs>
        <w:ind w:start="105pt" w:hanging="21pt"/>
      </w:pPr>
    </w:lvl>
    <w:lvl w:ilvl="5" w:tplc="298C3096" w:tentative="1">
      <w:start w:val="1"/>
      <w:numFmt w:val="lowerRoman"/>
      <w:lvlText w:val="%6."/>
      <w:lvlJc w:val="end"/>
      <w:pPr>
        <w:tabs>
          <w:tab w:val="num" w:pos="126pt"/>
        </w:tabs>
        <w:ind w:start="126pt" w:hanging="21pt"/>
      </w:pPr>
    </w:lvl>
    <w:lvl w:ilvl="6" w:tplc="3E00ECC0" w:tentative="1">
      <w:start w:val="1"/>
      <w:numFmt w:val="decimal"/>
      <w:lvlText w:val="%7."/>
      <w:lvlJc w:val="start"/>
      <w:pPr>
        <w:tabs>
          <w:tab w:val="num" w:pos="147pt"/>
        </w:tabs>
        <w:ind w:start="147pt" w:hanging="21pt"/>
      </w:pPr>
    </w:lvl>
    <w:lvl w:ilvl="7" w:tplc="47760EAA" w:tentative="1">
      <w:start w:val="1"/>
      <w:numFmt w:val="lowerLetter"/>
      <w:lvlText w:val="%8)"/>
      <w:lvlJc w:val="start"/>
      <w:pPr>
        <w:tabs>
          <w:tab w:val="num" w:pos="168pt"/>
        </w:tabs>
        <w:ind w:start="168pt" w:hanging="21pt"/>
      </w:pPr>
    </w:lvl>
    <w:lvl w:ilvl="8" w:tplc="1194AD44" w:tentative="1">
      <w:start w:val="1"/>
      <w:numFmt w:val="lowerRoman"/>
      <w:lvlText w:val="%9."/>
      <w:lvlJc w:val="end"/>
      <w:pPr>
        <w:tabs>
          <w:tab w:val="num" w:pos="189pt"/>
        </w:tabs>
        <w:ind w:start="189pt" w:hanging="21pt"/>
      </w:pPr>
    </w:lvl>
  </w:abstractNum>
  <w:abstractNum w:abstractNumId="7" w15:restartNumberingAfterBreak="0">
    <w:nsid w:val="4BDF65F6"/>
    <w:multiLevelType w:val="hybridMultilevel"/>
    <w:tmpl w:val="708C426A"/>
    <w:lvl w:ilvl="0" w:tplc="0409000B">
      <w:start w:val="1"/>
      <w:numFmt w:val="decimal"/>
      <w:pStyle w:val="Reference"/>
      <w:lvlText w:val="[%1]"/>
      <w:lvlJc w:val="start"/>
      <w:pPr>
        <w:tabs>
          <w:tab w:val="num" w:pos="28.35pt"/>
        </w:tabs>
        <w:ind w:start="28.35pt" w:hanging="28.35pt"/>
      </w:pPr>
      <w:rPr>
        <w:rFonts w:hint="default"/>
      </w:rPr>
    </w:lvl>
    <w:lvl w:ilvl="1" w:tplc="FDC06492">
      <w:start w:val="1"/>
      <w:numFmt w:val="decimal"/>
      <w:lvlText w:val="[%2]"/>
      <w:lvlJc w:val="start"/>
      <w:pPr>
        <w:tabs>
          <w:tab w:val="num" w:pos="75pt"/>
        </w:tabs>
        <w:ind w:start="75pt" w:hanging="21pt"/>
      </w:pPr>
      <w:rPr>
        <w:rFonts w:hint="eastAsia"/>
      </w:r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8" w15:restartNumberingAfterBreak="0">
    <w:nsid w:val="5101505E"/>
    <w:multiLevelType w:val="hybridMultilevel"/>
    <w:tmpl w:val="50146B46"/>
    <w:lvl w:ilvl="0" w:tplc="9CA28B6C">
      <w:start w:val="1"/>
      <w:numFmt w:val="decimal"/>
      <w:pStyle w:val="Observation"/>
      <w:lvlText w:val="Observation %1"/>
      <w:lvlJc w:val="start"/>
      <w:pPr>
        <w:ind w:start="18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9" w15:restartNumberingAfterBreak="0">
    <w:nsid w:val="521F44A7"/>
    <w:multiLevelType w:val="hybridMultilevel"/>
    <w:tmpl w:val="AAA62292"/>
    <w:lvl w:ilvl="0" w:tplc="98D4740E">
      <w:start w:val="1"/>
      <w:numFmt w:val="bullet"/>
      <w:pStyle w:val="EmailDiscussion"/>
      <w:lvlText w:val=""/>
      <w:lvlJc w:val="start"/>
      <w:pPr>
        <w:tabs>
          <w:tab w:val="num" w:pos="80.95pt"/>
        </w:tabs>
        <w:ind w:start="80.95pt" w:hanging="18pt"/>
      </w:pPr>
      <w:rPr>
        <w:rFonts w:ascii="Wingdings" w:hAnsi="Wingdings"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cs="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cs="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1" w15:restartNumberingAfterBreak="0">
    <w:nsid w:val="5C991E5A"/>
    <w:multiLevelType w:val="hybridMultilevel"/>
    <w:tmpl w:val="1E18D7AE"/>
    <w:lvl w:ilvl="0" w:tplc="0409000B">
      <w:start w:val="1"/>
      <w:numFmt w:val="bullet"/>
      <w:pStyle w:val="ListNumber"/>
      <w:lvlText w:val=""/>
      <w:lvlJc w:val="start"/>
      <w:pPr>
        <w:tabs>
          <w:tab w:val="num" w:pos="35.20pt"/>
        </w:tabs>
        <w:ind w:start="35.20pt" w:hanging="21pt"/>
      </w:pPr>
      <w:rPr>
        <w:rFonts w:ascii="Wingdings" w:hAnsi="Wingdings" w:hint="default"/>
      </w:rPr>
    </w:lvl>
    <w:lvl w:ilvl="1" w:tplc="04090003" w:tentative="1">
      <w:start w:val="1"/>
      <w:numFmt w:val="bullet"/>
      <w:lvlText w:val=""/>
      <w:lvlJc w:val="start"/>
      <w:pPr>
        <w:tabs>
          <w:tab w:val="num" w:pos="56.20pt"/>
        </w:tabs>
        <w:ind w:start="56.20pt" w:hanging="21pt"/>
      </w:pPr>
      <w:rPr>
        <w:rFonts w:ascii="Wingdings" w:hAnsi="Wingdings" w:hint="default"/>
      </w:rPr>
    </w:lvl>
    <w:lvl w:ilvl="2" w:tplc="04090005" w:tentative="1">
      <w:start w:val="1"/>
      <w:numFmt w:val="bullet"/>
      <w:lvlText w:val=""/>
      <w:lvlJc w:val="start"/>
      <w:pPr>
        <w:tabs>
          <w:tab w:val="num" w:pos="77.20pt"/>
        </w:tabs>
        <w:ind w:start="77.20pt" w:hanging="21pt"/>
      </w:pPr>
      <w:rPr>
        <w:rFonts w:ascii="Wingdings" w:hAnsi="Wingdings" w:hint="default"/>
      </w:rPr>
    </w:lvl>
    <w:lvl w:ilvl="3" w:tplc="04090001" w:tentative="1">
      <w:start w:val="1"/>
      <w:numFmt w:val="bullet"/>
      <w:lvlText w:val=""/>
      <w:lvlJc w:val="start"/>
      <w:pPr>
        <w:tabs>
          <w:tab w:val="num" w:pos="98.20pt"/>
        </w:tabs>
        <w:ind w:start="98.20pt" w:hanging="21pt"/>
      </w:pPr>
      <w:rPr>
        <w:rFonts w:ascii="Wingdings" w:hAnsi="Wingdings" w:hint="default"/>
      </w:rPr>
    </w:lvl>
    <w:lvl w:ilvl="4" w:tplc="04090003" w:tentative="1">
      <w:start w:val="1"/>
      <w:numFmt w:val="bullet"/>
      <w:lvlText w:val=""/>
      <w:lvlJc w:val="start"/>
      <w:pPr>
        <w:tabs>
          <w:tab w:val="num" w:pos="119.20pt"/>
        </w:tabs>
        <w:ind w:start="119.20pt" w:hanging="21pt"/>
      </w:pPr>
      <w:rPr>
        <w:rFonts w:ascii="Wingdings" w:hAnsi="Wingdings" w:hint="default"/>
      </w:rPr>
    </w:lvl>
    <w:lvl w:ilvl="5" w:tplc="04090005" w:tentative="1">
      <w:start w:val="1"/>
      <w:numFmt w:val="bullet"/>
      <w:lvlText w:val=""/>
      <w:lvlJc w:val="start"/>
      <w:pPr>
        <w:tabs>
          <w:tab w:val="num" w:pos="140.20pt"/>
        </w:tabs>
        <w:ind w:start="140.20pt" w:hanging="21pt"/>
      </w:pPr>
      <w:rPr>
        <w:rFonts w:ascii="Wingdings" w:hAnsi="Wingdings" w:hint="default"/>
      </w:rPr>
    </w:lvl>
    <w:lvl w:ilvl="6" w:tplc="04090001" w:tentative="1">
      <w:start w:val="1"/>
      <w:numFmt w:val="bullet"/>
      <w:lvlText w:val=""/>
      <w:lvlJc w:val="start"/>
      <w:pPr>
        <w:tabs>
          <w:tab w:val="num" w:pos="161.20pt"/>
        </w:tabs>
        <w:ind w:start="161.20pt" w:hanging="21pt"/>
      </w:pPr>
      <w:rPr>
        <w:rFonts w:ascii="Wingdings" w:hAnsi="Wingdings" w:hint="default"/>
      </w:rPr>
    </w:lvl>
    <w:lvl w:ilvl="7" w:tplc="04090003" w:tentative="1">
      <w:start w:val="1"/>
      <w:numFmt w:val="bullet"/>
      <w:lvlText w:val=""/>
      <w:lvlJc w:val="start"/>
      <w:pPr>
        <w:tabs>
          <w:tab w:val="num" w:pos="182.20pt"/>
        </w:tabs>
        <w:ind w:start="182.20pt" w:hanging="21pt"/>
      </w:pPr>
      <w:rPr>
        <w:rFonts w:ascii="Wingdings" w:hAnsi="Wingdings" w:hint="default"/>
      </w:rPr>
    </w:lvl>
    <w:lvl w:ilvl="8" w:tplc="04090005" w:tentative="1">
      <w:start w:val="1"/>
      <w:numFmt w:val="bullet"/>
      <w:lvlText w:val=""/>
      <w:lvlJc w:val="start"/>
      <w:pPr>
        <w:tabs>
          <w:tab w:val="num" w:pos="203.20pt"/>
        </w:tabs>
        <w:ind w:start="203.20pt" w:hanging="21pt"/>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start"/>
      <w:pPr>
        <w:tabs>
          <w:tab w:val="num" w:pos="80.95pt"/>
        </w:tabs>
        <w:ind w:start="80.95pt" w:hanging="18pt"/>
      </w:pPr>
      <w:rPr>
        <w:rFonts w:ascii="Symbol" w:hAnsi="Symbol" w:hint="default"/>
        <w:b/>
        <w:i w:val="0"/>
        <w:color w:val="auto"/>
        <w:sz w:val="22"/>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3" w15:restartNumberingAfterBreak="0">
    <w:nsid w:val="7BC330F5"/>
    <w:multiLevelType w:val="hybridMultilevel"/>
    <w:tmpl w:val="C2769C2A"/>
    <w:lvl w:ilvl="0" w:tplc="0409000D">
      <w:start w:val="1"/>
      <w:numFmt w:val="bullet"/>
      <w:pStyle w:val="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7C7A2F0D"/>
    <w:multiLevelType w:val="hybridMultilevel"/>
    <w:tmpl w:val="97122E24"/>
    <w:lvl w:ilvl="0" w:tplc="6E0AF71E">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start"/>
      <w:pPr>
        <w:tabs>
          <w:tab w:val="num" w:pos="35.20pt"/>
        </w:tabs>
        <w:ind w:start="35.20pt" w:hanging="21pt"/>
      </w:pPr>
      <w:rPr>
        <w:rFonts w:ascii="Wingdings" w:eastAsia="MS Mincho" w:hAnsi="Wingdings"/>
      </w:rPr>
    </w:lvl>
    <w:lvl w:ilvl="1">
      <w:start w:val="1"/>
      <w:numFmt w:val="decimal"/>
      <w:lvlText w:val="%2)"/>
      <w:lvlJc w:val="start"/>
      <w:pPr>
        <w:tabs>
          <w:tab w:val="num" w:pos="56.20pt"/>
        </w:tabs>
        <w:ind w:start="56.20pt" w:hanging="21pt"/>
      </w:pPr>
      <w:rPr>
        <w:rFonts w:hint="eastAsia"/>
      </w:rPr>
    </w:lvl>
    <w:lvl w:ilvl="2">
      <w:start w:val="1"/>
      <w:numFmt w:val="bullet"/>
      <w:lvlText w:val=""/>
      <w:lvlJc w:val="start"/>
      <w:pPr>
        <w:tabs>
          <w:tab w:val="num" w:pos="77.20pt"/>
        </w:tabs>
        <w:ind w:start="77.20pt" w:hanging="21pt"/>
      </w:pPr>
      <w:rPr>
        <w:rFonts w:ascii="Wingdings" w:hAnsi="Wingdings" w:hint="default"/>
      </w:rPr>
    </w:lvl>
    <w:lvl w:ilvl="3">
      <w:start w:val="1"/>
      <w:numFmt w:val="bullet"/>
      <w:lvlText w:val=""/>
      <w:lvlJc w:val="start"/>
      <w:pPr>
        <w:tabs>
          <w:tab w:val="num" w:pos="98.20pt"/>
        </w:tabs>
        <w:ind w:start="98.20pt" w:hanging="21pt"/>
      </w:pPr>
      <w:rPr>
        <w:rFonts w:ascii="Wingdings" w:hAnsi="Wingdings" w:hint="default"/>
      </w:rPr>
    </w:lvl>
    <w:lvl w:ilvl="4">
      <w:start w:val="1"/>
      <w:numFmt w:val="bullet"/>
      <w:lvlText w:val=""/>
      <w:lvlJc w:val="start"/>
      <w:pPr>
        <w:tabs>
          <w:tab w:val="num" w:pos="119.20pt"/>
        </w:tabs>
        <w:ind w:start="119.20pt" w:hanging="21pt"/>
      </w:pPr>
      <w:rPr>
        <w:rFonts w:ascii="Wingdings" w:hAnsi="Wingdings" w:hint="default"/>
      </w:rPr>
    </w:lvl>
    <w:lvl w:ilvl="5">
      <w:start w:val="1"/>
      <w:numFmt w:val="bullet"/>
      <w:lvlText w:val=""/>
      <w:lvlJc w:val="start"/>
      <w:pPr>
        <w:tabs>
          <w:tab w:val="num" w:pos="140.20pt"/>
        </w:tabs>
        <w:ind w:start="140.20pt" w:hanging="21pt"/>
      </w:pPr>
      <w:rPr>
        <w:rFonts w:ascii="Wingdings" w:hAnsi="Wingdings" w:hint="default"/>
      </w:rPr>
    </w:lvl>
    <w:lvl w:ilvl="6">
      <w:start w:val="1"/>
      <w:numFmt w:val="bullet"/>
      <w:lvlText w:val=""/>
      <w:lvlJc w:val="start"/>
      <w:pPr>
        <w:tabs>
          <w:tab w:val="num" w:pos="161.20pt"/>
        </w:tabs>
        <w:ind w:start="161.20pt" w:hanging="21pt"/>
      </w:pPr>
      <w:rPr>
        <w:rFonts w:ascii="Wingdings" w:hAnsi="Wingdings" w:hint="default"/>
      </w:rPr>
    </w:lvl>
    <w:lvl w:ilvl="7">
      <w:start w:val="1"/>
      <w:numFmt w:val="bullet"/>
      <w:lvlText w:val=""/>
      <w:lvlJc w:val="start"/>
      <w:pPr>
        <w:tabs>
          <w:tab w:val="num" w:pos="182.20pt"/>
        </w:tabs>
        <w:ind w:start="182.20pt" w:hanging="21pt"/>
      </w:pPr>
      <w:rPr>
        <w:rFonts w:ascii="Wingdings" w:hAnsi="Wingdings" w:hint="default"/>
      </w:rPr>
    </w:lvl>
    <w:lvl w:ilvl="8">
      <w:start w:val="1"/>
      <w:numFmt w:val="bullet"/>
      <w:lvlText w:val=""/>
      <w:lvlJc w:val="start"/>
      <w:pPr>
        <w:tabs>
          <w:tab w:val="num" w:pos="203.20pt"/>
        </w:tabs>
        <w:ind w:start="203.20pt" w:hanging="21pt"/>
      </w:pPr>
      <w:rPr>
        <w:rFonts w:ascii="Wingdings" w:hAnsi="Wingdings" w:hint="default"/>
      </w:rPr>
    </w:lvl>
  </w:abstractNum>
  <w:num w:numId="1">
    <w:abstractNumId w:val="2"/>
  </w:num>
  <w:num w:numId="2">
    <w:abstractNumId w:val="1"/>
  </w:num>
  <w:num w:numId="3">
    <w:abstractNumId w:val="13"/>
  </w:num>
  <w:num w:numId="4">
    <w:abstractNumId w:val="15"/>
  </w:num>
  <w:num w:numId="5">
    <w:abstractNumId w:val="11"/>
  </w:num>
  <w:num w:numId="6">
    <w:abstractNumId w:val="0"/>
  </w:num>
  <w:num w:numId="7">
    <w:abstractNumId w:val="3"/>
  </w:num>
  <w:num w:numId="8">
    <w:abstractNumId w:val="6"/>
  </w:num>
  <w:num w:numId="9">
    <w:abstractNumId w:val="7"/>
  </w:num>
  <w:num w:numId="10">
    <w:abstractNumId w:val="5"/>
  </w:num>
  <w:num w:numId="11">
    <w:abstractNumId w:val="8"/>
  </w:num>
  <w:num w:numId="12">
    <w:abstractNumId w:val="12"/>
  </w:num>
  <w:num w:numId="13">
    <w:abstractNumId w:val="10"/>
  </w:num>
  <w:num w:numId="14">
    <w:abstractNumId w:val="9"/>
  </w:num>
  <w:num w:numId="15">
    <w:abstractNumId w:val="5"/>
    <w:lvlOverride w:ilvl="0">
      <w:startOverride w:val="1"/>
    </w:lvlOverride>
  </w:num>
  <w:num w:numId="16">
    <w:abstractNumId w:val="5"/>
    <w:lvlOverride w:ilvl="0">
      <w:startOverride w:val="1"/>
    </w:lvlOverride>
  </w:num>
  <w:num w:numId="17">
    <w:abstractNumId w:val="5"/>
  </w:num>
  <w:num w:numId="18">
    <w:abstractNumId w:val="4"/>
  </w:num>
  <w:num w:numId="19">
    <w:abstractNumId w:val="5"/>
  </w:num>
  <w:num w:numId="20">
    <w:abstractNumId w:val="5"/>
    <w:lvlOverride w:ilvl="0">
      <w:startOverride w:val="1"/>
    </w:lvlOverride>
  </w:num>
  <w:num w:numId="21">
    <w:abstractNumId w:val="5"/>
    <w:lvlOverride w:ilvl="0">
      <w:startOverride w:val="1"/>
    </w:lvlOverride>
  </w:num>
  <w:num w:numId="22">
    <w:abstractNumId w:val="5"/>
    <w:lvlOverride w:ilvl="0">
      <w:startOverride w:val="1"/>
    </w:lvlOverride>
  </w:num>
  <w:num w:numId="23">
    <w:abstractNumId w:val="5"/>
    <w:lvlOverride w:ilvl="0">
      <w:startOverride w:val="1"/>
    </w:lvlOverride>
  </w:num>
  <w:num w:numId="24">
    <w:abstractNumId w:val="5"/>
  </w:num>
  <w:num w:numId="25">
    <w:abstractNumId w:val="5"/>
    <w:lvlOverride w:ilvl="0">
      <w:startOverride w:val="1"/>
    </w:lvlOverride>
  </w:num>
  <w:num w:numId="26">
    <w:abstractNumId w:val="5"/>
    <w:lvlOverride w:ilvl="0">
      <w:startOverride w:val="1"/>
    </w:lvlOverride>
  </w:num>
  <w:num w:numId="27">
    <w:abstractNumId w:val="5"/>
    <w:lvlOverride w:ilvl="0">
      <w:startOverride w:val="1"/>
    </w:lvlOverride>
  </w:num>
  <w:num w:numId="28">
    <w:abstractNumId w:val="14"/>
  </w:num>
  <w:num w:numId="29">
    <w:abstractNumId w:val="5"/>
    <w:lvlOverride w:ilvl="0">
      <w:startOverride w:val="1"/>
    </w:lvlOverride>
  </w:num>
  <w:num w:numId="30">
    <w:abstractNumId w:val="5"/>
    <w:lvlOverride w:ilvl="0">
      <w:startOverride w:val="1"/>
    </w:lvlOverride>
  </w:num>
  <w:num w:numId="31">
    <w:abstractNumId w:val="5"/>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5"/>
    <w:lvlOverride w:ilvl="0">
      <w:startOverride w:val="1"/>
    </w:lvlOverride>
  </w:num>
  <w:num w:numId="35">
    <w:abstractNumId w:val="5"/>
  </w:num>
  <w:num w:numId="36">
    <w:abstractNumId w:val="5"/>
  </w:num>
  <w:num w:numId="37">
    <w:abstractNumId w:val="5"/>
  </w:num>
  <w:num w:numId="38">
    <w:abstractNumId w:val="5"/>
  </w:num>
  <w:num w:numId="39">
    <w:abstractNumId w:val="5"/>
    <w:lvlOverride w:ilvl="0">
      <w:startOverride w:val="1"/>
    </w:lvlOverride>
  </w:num>
  <w:num w:numId="40">
    <w:abstractNumId w:val="5"/>
  </w:num>
  <w:num w:numId="41">
    <w:abstractNumId w:val="5"/>
  </w:num>
  <w:num w:numId="42">
    <w:abstractNumId w:val="8"/>
    <w:lvlOverride w:ilvl="0">
      <w:startOverride w:val="1"/>
    </w:lvlOverride>
  </w:num>
  <w:num w:numId="43">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es-NI" w:vendorID="64" w:dllVersion="131078" w:nlCheck="1" w:checkStyle="1"/>
  <w:activeWritingStyle w:appName="MSWord" w:lang="es-ES_tradnl"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ko-KR" w:vendorID="64" w:dllVersion="131077" w:nlCheck="1" w:checkStyle="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32A"/>
    <w:rsid w:val="00001345"/>
    <w:rsid w:val="00001659"/>
    <w:rsid w:val="00001940"/>
    <w:rsid w:val="00001F79"/>
    <w:rsid w:val="0000246B"/>
    <w:rsid w:val="00002862"/>
    <w:rsid w:val="00002C5F"/>
    <w:rsid w:val="00003284"/>
    <w:rsid w:val="0000384A"/>
    <w:rsid w:val="00003904"/>
    <w:rsid w:val="00003DF6"/>
    <w:rsid w:val="00003FCF"/>
    <w:rsid w:val="0000447F"/>
    <w:rsid w:val="000044DA"/>
    <w:rsid w:val="0000488A"/>
    <w:rsid w:val="00004AED"/>
    <w:rsid w:val="0000613E"/>
    <w:rsid w:val="000068C4"/>
    <w:rsid w:val="00006901"/>
    <w:rsid w:val="00006AA0"/>
    <w:rsid w:val="00010CA5"/>
    <w:rsid w:val="000110CA"/>
    <w:rsid w:val="000112FD"/>
    <w:rsid w:val="0001164D"/>
    <w:rsid w:val="000116CF"/>
    <w:rsid w:val="000118F6"/>
    <w:rsid w:val="0001214F"/>
    <w:rsid w:val="0001376A"/>
    <w:rsid w:val="00013CB8"/>
    <w:rsid w:val="00013F8B"/>
    <w:rsid w:val="00015330"/>
    <w:rsid w:val="0001555D"/>
    <w:rsid w:val="0001565F"/>
    <w:rsid w:val="0001701A"/>
    <w:rsid w:val="00017C43"/>
    <w:rsid w:val="00017DFA"/>
    <w:rsid w:val="000205C0"/>
    <w:rsid w:val="00020BFF"/>
    <w:rsid w:val="00020DC3"/>
    <w:rsid w:val="00021601"/>
    <w:rsid w:val="000217C5"/>
    <w:rsid w:val="000224E8"/>
    <w:rsid w:val="00022647"/>
    <w:rsid w:val="0002266A"/>
    <w:rsid w:val="00022981"/>
    <w:rsid w:val="00022E4A"/>
    <w:rsid w:val="00023D14"/>
    <w:rsid w:val="00023E5C"/>
    <w:rsid w:val="0002497B"/>
    <w:rsid w:val="00025434"/>
    <w:rsid w:val="0002566B"/>
    <w:rsid w:val="0002583C"/>
    <w:rsid w:val="0002747B"/>
    <w:rsid w:val="00030090"/>
    <w:rsid w:val="00031567"/>
    <w:rsid w:val="00031F4A"/>
    <w:rsid w:val="00032AB8"/>
    <w:rsid w:val="00033669"/>
    <w:rsid w:val="0003419C"/>
    <w:rsid w:val="000341F7"/>
    <w:rsid w:val="000346B7"/>
    <w:rsid w:val="000347E6"/>
    <w:rsid w:val="00035389"/>
    <w:rsid w:val="000357E9"/>
    <w:rsid w:val="00035BB5"/>
    <w:rsid w:val="00037B33"/>
    <w:rsid w:val="00040028"/>
    <w:rsid w:val="000406A0"/>
    <w:rsid w:val="00040AC9"/>
    <w:rsid w:val="00040B64"/>
    <w:rsid w:val="0004127F"/>
    <w:rsid w:val="000421C4"/>
    <w:rsid w:val="00043BC5"/>
    <w:rsid w:val="00043D54"/>
    <w:rsid w:val="000442D9"/>
    <w:rsid w:val="000444AB"/>
    <w:rsid w:val="00044562"/>
    <w:rsid w:val="0004559B"/>
    <w:rsid w:val="00045B7F"/>
    <w:rsid w:val="000460B7"/>
    <w:rsid w:val="000468A5"/>
    <w:rsid w:val="00047254"/>
    <w:rsid w:val="00047A86"/>
    <w:rsid w:val="00047D2B"/>
    <w:rsid w:val="000502EF"/>
    <w:rsid w:val="0005055D"/>
    <w:rsid w:val="00052018"/>
    <w:rsid w:val="000520DD"/>
    <w:rsid w:val="0005229E"/>
    <w:rsid w:val="0005288F"/>
    <w:rsid w:val="00053A69"/>
    <w:rsid w:val="0005476A"/>
    <w:rsid w:val="00054CEB"/>
    <w:rsid w:val="00057F83"/>
    <w:rsid w:val="000606FF"/>
    <w:rsid w:val="0006114C"/>
    <w:rsid w:val="000622D3"/>
    <w:rsid w:val="00062A3B"/>
    <w:rsid w:val="00063FEC"/>
    <w:rsid w:val="00064173"/>
    <w:rsid w:val="000655EF"/>
    <w:rsid w:val="000656FF"/>
    <w:rsid w:val="000657B2"/>
    <w:rsid w:val="000661B4"/>
    <w:rsid w:val="0006662E"/>
    <w:rsid w:val="00066F8B"/>
    <w:rsid w:val="00070BE0"/>
    <w:rsid w:val="00070CDD"/>
    <w:rsid w:val="00072EDF"/>
    <w:rsid w:val="000737BB"/>
    <w:rsid w:val="00073C97"/>
    <w:rsid w:val="000744F7"/>
    <w:rsid w:val="00075247"/>
    <w:rsid w:val="00076609"/>
    <w:rsid w:val="00076AC4"/>
    <w:rsid w:val="00076E9F"/>
    <w:rsid w:val="0007734E"/>
    <w:rsid w:val="000776F4"/>
    <w:rsid w:val="0008040A"/>
    <w:rsid w:val="00081C37"/>
    <w:rsid w:val="00083024"/>
    <w:rsid w:val="000832CF"/>
    <w:rsid w:val="00083842"/>
    <w:rsid w:val="000843D9"/>
    <w:rsid w:val="00084F0C"/>
    <w:rsid w:val="00085129"/>
    <w:rsid w:val="00085DF3"/>
    <w:rsid w:val="0008681D"/>
    <w:rsid w:val="00086B96"/>
    <w:rsid w:val="00086C67"/>
    <w:rsid w:val="000902C7"/>
    <w:rsid w:val="00091874"/>
    <w:rsid w:val="000939D5"/>
    <w:rsid w:val="00093D61"/>
    <w:rsid w:val="00093E22"/>
    <w:rsid w:val="00094414"/>
    <w:rsid w:val="00094829"/>
    <w:rsid w:val="000949F3"/>
    <w:rsid w:val="000959B2"/>
    <w:rsid w:val="00096954"/>
    <w:rsid w:val="0009762D"/>
    <w:rsid w:val="00097964"/>
    <w:rsid w:val="00097992"/>
    <w:rsid w:val="00097FD1"/>
    <w:rsid w:val="000A07A7"/>
    <w:rsid w:val="000A10EB"/>
    <w:rsid w:val="000A1860"/>
    <w:rsid w:val="000A2878"/>
    <w:rsid w:val="000A2D64"/>
    <w:rsid w:val="000A36CE"/>
    <w:rsid w:val="000A3769"/>
    <w:rsid w:val="000A394F"/>
    <w:rsid w:val="000A4C5A"/>
    <w:rsid w:val="000A535C"/>
    <w:rsid w:val="000A54D8"/>
    <w:rsid w:val="000A5B98"/>
    <w:rsid w:val="000A6451"/>
    <w:rsid w:val="000A689E"/>
    <w:rsid w:val="000A6CBD"/>
    <w:rsid w:val="000A6E68"/>
    <w:rsid w:val="000A7276"/>
    <w:rsid w:val="000B13E4"/>
    <w:rsid w:val="000B19FE"/>
    <w:rsid w:val="000B1BAA"/>
    <w:rsid w:val="000B2F0D"/>
    <w:rsid w:val="000B2FF5"/>
    <w:rsid w:val="000B343B"/>
    <w:rsid w:val="000B48A6"/>
    <w:rsid w:val="000B4B4A"/>
    <w:rsid w:val="000B4EC7"/>
    <w:rsid w:val="000B5774"/>
    <w:rsid w:val="000B5F7E"/>
    <w:rsid w:val="000B6975"/>
    <w:rsid w:val="000B6B73"/>
    <w:rsid w:val="000B7299"/>
    <w:rsid w:val="000B78CC"/>
    <w:rsid w:val="000B7C18"/>
    <w:rsid w:val="000B7C24"/>
    <w:rsid w:val="000C00E1"/>
    <w:rsid w:val="000C0295"/>
    <w:rsid w:val="000C0CAB"/>
    <w:rsid w:val="000C0E47"/>
    <w:rsid w:val="000C30B5"/>
    <w:rsid w:val="000C42DD"/>
    <w:rsid w:val="000C4563"/>
    <w:rsid w:val="000C4E93"/>
    <w:rsid w:val="000C64A9"/>
    <w:rsid w:val="000C6CBB"/>
    <w:rsid w:val="000C6D76"/>
    <w:rsid w:val="000C6E31"/>
    <w:rsid w:val="000C7168"/>
    <w:rsid w:val="000D0344"/>
    <w:rsid w:val="000D16EB"/>
    <w:rsid w:val="000D21B7"/>
    <w:rsid w:val="000D3B23"/>
    <w:rsid w:val="000D3C0A"/>
    <w:rsid w:val="000D44C8"/>
    <w:rsid w:val="000D468C"/>
    <w:rsid w:val="000D5EB4"/>
    <w:rsid w:val="000D5EC9"/>
    <w:rsid w:val="000E02F8"/>
    <w:rsid w:val="000E0714"/>
    <w:rsid w:val="000E093C"/>
    <w:rsid w:val="000E0A9F"/>
    <w:rsid w:val="000E13C9"/>
    <w:rsid w:val="000E301C"/>
    <w:rsid w:val="000E3370"/>
    <w:rsid w:val="000E34C9"/>
    <w:rsid w:val="000E3D7B"/>
    <w:rsid w:val="000E4329"/>
    <w:rsid w:val="000E46F9"/>
    <w:rsid w:val="000E4EE1"/>
    <w:rsid w:val="000E5405"/>
    <w:rsid w:val="000E558F"/>
    <w:rsid w:val="000E625A"/>
    <w:rsid w:val="000E65C5"/>
    <w:rsid w:val="000E6880"/>
    <w:rsid w:val="000E69BE"/>
    <w:rsid w:val="000E7C81"/>
    <w:rsid w:val="000F025B"/>
    <w:rsid w:val="000F04FB"/>
    <w:rsid w:val="000F0573"/>
    <w:rsid w:val="000F05BC"/>
    <w:rsid w:val="000F0E5C"/>
    <w:rsid w:val="000F1014"/>
    <w:rsid w:val="000F1B8E"/>
    <w:rsid w:val="000F1FC4"/>
    <w:rsid w:val="000F3F24"/>
    <w:rsid w:val="000F446E"/>
    <w:rsid w:val="000F5047"/>
    <w:rsid w:val="000F5CEC"/>
    <w:rsid w:val="000F662C"/>
    <w:rsid w:val="000F6864"/>
    <w:rsid w:val="000F6965"/>
    <w:rsid w:val="000F6E6D"/>
    <w:rsid w:val="000F72B2"/>
    <w:rsid w:val="000F7458"/>
    <w:rsid w:val="000F7A9D"/>
    <w:rsid w:val="000F7B91"/>
    <w:rsid w:val="00100151"/>
    <w:rsid w:val="00100609"/>
    <w:rsid w:val="00100BFE"/>
    <w:rsid w:val="00100C1C"/>
    <w:rsid w:val="001011CD"/>
    <w:rsid w:val="001012AE"/>
    <w:rsid w:val="00101C00"/>
    <w:rsid w:val="00101C0B"/>
    <w:rsid w:val="001024B9"/>
    <w:rsid w:val="00102AEE"/>
    <w:rsid w:val="001053B5"/>
    <w:rsid w:val="00105566"/>
    <w:rsid w:val="0010634F"/>
    <w:rsid w:val="00107B77"/>
    <w:rsid w:val="00107EFF"/>
    <w:rsid w:val="00107F95"/>
    <w:rsid w:val="00107FF6"/>
    <w:rsid w:val="001101AC"/>
    <w:rsid w:val="00110973"/>
    <w:rsid w:val="00110CE9"/>
    <w:rsid w:val="0011191D"/>
    <w:rsid w:val="001119E6"/>
    <w:rsid w:val="00111EA7"/>
    <w:rsid w:val="00112188"/>
    <w:rsid w:val="00112C1D"/>
    <w:rsid w:val="001133CF"/>
    <w:rsid w:val="00113571"/>
    <w:rsid w:val="0011407B"/>
    <w:rsid w:val="00114209"/>
    <w:rsid w:val="00114EB0"/>
    <w:rsid w:val="00116738"/>
    <w:rsid w:val="00116E17"/>
    <w:rsid w:val="0011744A"/>
    <w:rsid w:val="00117B42"/>
    <w:rsid w:val="00117E84"/>
    <w:rsid w:val="00117F41"/>
    <w:rsid w:val="00121CA2"/>
    <w:rsid w:val="0012227B"/>
    <w:rsid w:val="001227E7"/>
    <w:rsid w:val="00123297"/>
    <w:rsid w:val="001233B0"/>
    <w:rsid w:val="0012375F"/>
    <w:rsid w:val="00125A22"/>
    <w:rsid w:val="00125B6D"/>
    <w:rsid w:val="0012633A"/>
    <w:rsid w:val="00126539"/>
    <w:rsid w:val="00126BF7"/>
    <w:rsid w:val="0012700F"/>
    <w:rsid w:val="0013091C"/>
    <w:rsid w:val="00130C8A"/>
    <w:rsid w:val="001312D1"/>
    <w:rsid w:val="0013156C"/>
    <w:rsid w:val="00131814"/>
    <w:rsid w:val="00131EA5"/>
    <w:rsid w:val="0013204A"/>
    <w:rsid w:val="00132625"/>
    <w:rsid w:val="001356CC"/>
    <w:rsid w:val="00135B09"/>
    <w:rsid w:val="00136718"/>
    <w:rsid w:val="00136D37"/>
    <w:rsid w:val="00137A74"/>
    <w:rsid w:val="00140232"/>
    <w:rsid w:val="0014087A"/>
    <w:rsid w:val="00140B9A"/>
    <w:rsid w:val="00141333"/>
    <w:rsid w:val="00141DD6"/>
    <w:rsid w:val="001423D5"/>
    <w:rsid w:val="001436A8"/>
    <w:rsid w:val="00144AA6"/>
    <w:rsid w:val="00145E14"/>
    <w:rsid w:val="0014638D"/>
    <w:rsid w:val="00147D37"/>
    <w:rsid w:val="0015093A"/>
    <w:rsid w:val="00150FD5"/>
    <w:rsid w:val="00151A98"/>
    <w:rsid w:val="00151F10"/>
    <w:rsid w:val="00152357"/>
    <w:rsid w:val="00152608"/>
    <w:rsid w:val="001529C5"/>
    <w:rsid w:val="001540A0"/>
    <w:rsid w:val="00154461"/>
    <w:rsid w:val="00154D3D"/>
    <w:rsid w:val="001551A2"/>
    <w:rsid w:val="0015526C"/>
    <w:rsid w:val="001564B8"/>
    <w:rsid w:val="00156A74"/>
    <w:rsid w:val="00157372"/>
    <w:rsid w:val="001579B4"/>
    <w:rsid w:val="0016006A"/>
    <w:rsid w:val="0016044E"/>
    <w:rsid w:val="001605E4"/>
    <w:rsid w:val="00160DF5"/>
    <w:rsid w:val="00162463"/>
    <w:rsid w:val="0016246B"/>
    <w:rsid w:val="00162CE8"/>
    <w:rsid w:val="001636D5"/>
    <w:rsid w:val="00163EEC"/>
    <w:rsid w:val="00164409"/>
    <w:rsid w:val="00164798"/>
    <w:rsid w:val="00165014"/>
    <w:rsid w:val="0016631D"/>
    <w:rsid w:val="001679FD"/>
    <w:rsid w:val="0017016A"/>
    <w:rsid w:val="00170BC8"/>
    <w:rsid w:val="0017100B"/>
    <w:rsid w:val="001713D6"/>
    <w:rsid w:val="00171753"/>
    <w:rsid w:val="00171F68"/>
    <w:rsid w:val="001721AE"/>
    <w:rsid w:val="00172ACA"/>
    <w:rsid w:val="00174594"/>
    <w:rsid w:val="00175C7C"/>
    <w:rsid w:val="00177369"/>
    <w:rsid w:val="001775C4"/>
    <w:rsid w:val="001778DC"/>
    <w:rsid w:val="00177ED9"/>
    <w:rsid w:val="0018017B"/>
    <w:rsid w:val="00181069"/>
    <w:rsid w:val="00181513"/>
    <w:rsid w:val="00181653"/>
    <w:rsid w:val="001823E1"/>
    <w:rsid w:val="0018268F"/>
    <w:rsid w:val="00183919"/>
    <w:rsid w:val="00183DBA"/>
    <w:rsid w:val="00184EF7"/>
    <w:rsid w:val="00185A40"/>
    <w:rsid w:val="00185F68"/>
    <w:rsid w:val="001860A0"/>
    <w:rsid w:val="0018677F"/>
    <w:rsid w:val="001869E3"/>
    <w:rsid w:val="001872A0"/>
    <w:rsid w:val="00190257"/>
    <w:rsid w:val="001914D7"/>
    <w:rsid w:val="00191FFD"/>
    <w:rsid w:val="0019227A"/>
    <w:rsid w:val="001923B7"/>
    <w:rsid w:val="00193153"/>
    <w:rsid w:val="00193AF2"/>
    <w:rsid w:val="00193FBA"/>
    <w:rsid w:val="001949AB"/>
    <w:rsid w:val="001953DF"/>
    <w:rsid w:val="00195650"/>
    <w:rsid w:val="001977C8"/>
    <w:rsid w:val="00197C7B"/>
    <w:rsid w:val="001A013C"/>
    <w:rsid w:val="001A1B88"/>
    <w:rsid w:val="001A1F92"/>
    <w:rsid w:val="001A1FDE"/>
    <w:rsid w:val="001A2382"/>
    <w:rsid w:val="001A2C24"/>
    <w:rsid w:val="001A34F0"/>
    <w:rsid w:val="001A38C1"/>
    <w:rsid w:val="001A4BF9"/>
    <w:rsid w:val="001A68F4"/>
    <w:rsid w:val="001A6CB0"/>
    <w:rsid w:val="001A70B9"/>
    <w:rsid w:val="001A7876"/>
    <w:rsid w:val="001A7D9C"/>
    <w:rsid w:val="001B0449"/>
    <w:rsid w:val="001B06B1"/>
    <w:rsid w:val="001B1D9D"/>
    <w:rsid w:val="001B1FB4"/>
    <w:rsid w:val="001B2FCB"/>
    <w:rsid w:val="001B33E5"/>
    <w:rsid w:val="001B3D7B"/>
    <w:rsid w:val="001B415E"/>
    <w:rsid w:val="001B4198"/>
    <w:rsid w:val="001B4EA1"/>
    <w:rsid w:val="001B511A"/>
    <w:rsid w:val="001B57B0"/>
    <w:rsid w:val="001B6380"/>
    <w:rsid w:val="001B6B6E"/>
    <w:rsid w:val="001B6CDE"/>
    <w:rsid w:val="001B6FD4"/>
    <w:rsid w:val="001B7143"/>
    <w:rsid w:val="001B7CA3"/>
    <w:rsid w:val="001B7F6B"/>
    <w:rsid w:val="001C022C"/>
    <w:rsid w:val="001C050B"/>
    <w:rsid w:val="001C0B62"/>
    <w:rsid w:val="001C0E19"/>
    <w:rsid w:val="001C111C"/>
    <w:rsid w:val="001C1463"/>
    <w:rsid w:val="001C1982"/>
    <w:rsid w:val="001C2AB9"/>
    <w:rsid w:val="001C2DD3"/>
    <w:rsid w:val="001C3FA4"/>
    <w:rsid w:val="001C4A8B"/>
    <w:rsid w:val="001C5F62"/>
    <w:rsid w:val="001C6466"/>
    <w:rsid w:val="001C6FB6"/>
    <w:rsid w:val="001D13F1"/>
    <w:rsid w:val="001D17F5"/>
    <w:rsid w:val="001D1842"/>
    <w:rsid w:val="001D1EAA"/>
    <w:rsid w:val="001D2965"/>
    <w:rsid w:val="001D3F74"/>
    <w:rsid w:val="001D4FA8"/>
    <w:rsid w:val="001D504E"/>
    <w:rsid w:val="001D6936"/>
    <w:rsid w:val="001D6E29"/>
    <w:rsid w:val="001D6F72"/>
    <w:rsid w:val="001D711B"/>
    <w:rsid w:val="001D7F02"/>
    <w:rsid w:val="001E0792"/>
    <w:rsid w:val="001E0B57"/>
    <w:rsid w:val="001E0E99"/>
    <w:rsid w:val="001E1A4D"/>
    <w:rsid w:val="001E28C6"/>
    <w:rsid w:val="001E3038"/>
    <w:rsid w:val="001E323F"/>
    <w:rsid w:val="001E35AF"/>
    <w:rsid w:val="001E3784"/>
    <w:rsid w:val="001E41F3"/>
    <w:rsid w:val="001E4AA3"/>
    <w:rsid w:val="001E4C78"/>
    <w:rsid w:val="001E50E2"/>
    <w:rsid w:val="001E6065"/>
    <w:rsid w:val="001E63CC"/>
    <w:rsid w:val="001E69D4"/>
    <w:rsid w:val="001E7450"/>
    <w:rsid w:val="001E7D40"/>
    <w:rsid w:val="001F0201"/>
    <w:rsid w:val="001F03CF"/>
    <w:rsid w:val="001F0CA1"/>
    <w:rsid w:val="001F15A0"/>
    <w:rsid w:val="001F1E89"/>
    <w:rsid w:val="001F1E98"/>
    <w:rsid w:val="001F2538"/>
    <w:rsid w:val="001F2CFC"/>
    <w:rsid w:val="001F34C8"/>
    <w:rsid w:val="001F3A71"/>
    <w:rsid w:val="001F3BDF"/>
    <w:rsid w:val="001F46A0"/>
    <w:rsid w:val="001F4DBA"/>
    <w:rsid w:val="001F5086"/>
    <w:rsid w:val="001F5B17"/>
    <w:rsid w:val="001F6117"/>
    <w:rsid w:val="001F6FE8"/>
    <w:rsid w:val="001F705F"/>
    <w:rsid w:val="001F7A97"/>
    <w:rsid w:val="00200154"/>
    <w:rsid w:val="00200340"/>
    <w:rsid w:val="002010F1"/>
    <w:rsid w:val="0020116F"/>
    <w:rsid w:val="0020138F"/>
    <w:rsid w:val="002023A8"/>
    <w:rsid w:val="002023FE"/>
    <w:rsid w:val="00202A44"/>
    <w:rsid w:val="00203B5D"/>
    <w:rsid w:val="00204052"/>
    <w:rsid w:val="002040D7"/>
    <w:rsid w:val="002042A1"/>
    <w:rsid w:val="0020587A"/>
    <w:rsid w:val="00205B9C"/>
    <w:rsid w:val="00206268"/>
    <w:rsid w:val="00206464"/>
    <w:rsid w:val="00207048"/>
    <w:rsid w:val="00207793"/>
    <w:rsid w:val="002100EA"/>
    <w:rsid w:val="002107B2"/>
    <w:rsid w:val="00210A71"/>
    <w:rsid w:val="00210B73"/>
    <w:rsid w:val="0021160E"/>
    <w:rsid w:val="00211BE9"/>
    <w:rsid w:val="00212651"/>
    <w:rsid w:val="002128D6"/>
    <w:rsid w:val="00213541"/>
    <w:rsid w:val="00214991"/>
    <w:rsid w:val="002150B0"/>
    <w:rsid w:val="002152E3"/>
    <w:rsid w:val="0021556E"/>
    <w:rsid w:val="00216DD1"/>
    <w:rsid w:val="00220898"/>
    <w:rsid w:val="002214AD"/>
    <w:rsid w:val="0022176A"/>
    <w:rsid w:val="0022182B"/>
    <w:rsid w:val="00222050"/>
    <w:rsid w:val="00223223"/>
    <w:rsid w:val="00223971"/>
    <w:rsid w:val="00223A93"/>
    <w:rsid w:val="0022418F"/>
    <w:rsid w:val="002241F1"/>
    <w:rsid w:val="0022499C"/>
    <w:rsid w:val="00224B6C"/>
    <w:rsid w:val="00225BF4"/>
    <w:rsid w:val="002261DC"/>
    <w:rsid w:val="002263AA"/>
    <w:rsid w:val="00226AF5"/>
    <w:rsid w:val="002277A5"/>
    <w:rsid w:val="00227BE9"/>
    <w:rsid w:val="00227F3F"/>
    <w:rsid w:val="002313BF"/>
    <w:rsid w:val="00231E54"/>
    <w:rsid w:val="002321E8"/>
    <w:rsid w:val="002322F7"/>
    <w:rsid w:val="002323C1"/>
    <w:rsid w:val="00232E93"/>
    <w:rsid w:val="0023360F"/>
    <w:rsid w:val="002345A0"/>
    <w:rsid w:val="00234668"/>
    <w:rsid w:val="002349D5"/>
    <w:rsid w:val="00234D60"/>
    <w:rsid w:val="00234F69"/>
    <w:rsid w:val="00235251"/>
    <w:rsid w:val="00235B4C"/>
    <w:rsid w:val="00236705"/>
    <w:rsid w:val="0023683D"/>
    <w:rsid w:val="002369C0"/>
    <w:rsid w:val="002376A3"/>
    <w:rsid w:val="002379A1"/>
    <w:rsid w:val="00241AD4"/>
    <w:rsid w:val="0024246F"/>
    <w:rsid w:val="002424BC"/>
    <w:rsid w:val="00242FCE"/>
    <w:rsid w:val="0024335F"/>
    <w:rsid w:val="002433A6"/>
    <w:rsid w:val="00243BC1"/>
    <w:rsid w:val="00244332"/>
    <w:rsid w:val="00244FBF"/>
    <w:rsid w:val="00245036"/>
    <w:rsid w:val="0024523D"/>
    <w:rsid w:val="00245A1B"/>
    <w:rsid w:val="00245B23"/>
    <w:rsid w:val="00246482"/>
    <w:rsid w:val="00246DE8"/>
    <w:rsid w:val="002477E1"/>
    <w:rsid w:val="0025022A"/>
    <w:rsid w:val="00250854"/>
    <w:rsid w:val="0025228F"/>
    <w:rsid w:val="002530BE"/>
    <w:rsid w:val="002536F2"/>
    <w:rsid w:val="00255AE4"/>
    <w:rsid w:val="00257195"/>
    <w:rsid w:val="002578D8"/>
    <w:rsid w:val="002613A5"/>
    <w:rsid w:val="00261E1B"/>
    <w:rsid w:val="00261E29"/>
    <w:rsid w:val="002626F6"/>
    <w:rsid w:val="0026624B"/>
    <w:rsid w:val="00266C98"/>
    <w:rsid w:val="00267881"/>
    <w:rsid w:val="00271569"/>
    <w:rsid w:val="002720E0"/>
    <w:rsid w:val="002723F2"/>
    <w:rsid w:val="00272A7F"/>
    <w:rsid w:val="00272D0F"/>
    <w:rsid w:val="00272E21"/>
    <w:rsid w:val="00273327"/>
    <w:rsid w:val="00273821"/>
    <w:rsid w:val="002738F6"/>
    <w:rsid w:val="0027394A"/>
    <w:rsid w:val="00273FC1"/>
    <w:rsid w:val="00274082"/>
    <w:rsid w:val="00274E67"/>
    <w:rsid w:val="00275D12"/>
    <w:rsid w:val="002769FD"/>
    <w:rsid w:val="00276C7B"/>
    <w:rsid w:val="00276CD2"/>
    <w:rsid w:val="00277039"/>
    <w:rsid w:val="00277A1E"/>
    <w:rsid w:val="0028062F"/>
    <w:rsid w:val="002808AD"/>
    <w:rsid w:val="002808C0"/>
    <w:rsid w:val="00280FEC"/>
    <w:rsid w:val="00281EB0"/>
    <w:rsid w:val="00281F1D"/>
    <w:rsid w:val="00282E88"/>
    <w:rsid w:val="00283606"/>
    <w:rsid w:val="002836AF"/>
    <w:rsid w:val="00283FB7"/>
    <w:rsid w:val="0028456D"/>
    <w:rsid w:val="00285147"/>
    <w:rsid w:val="00285749"/>
    <w:rsid w:val="0028675B"/>
    <w:rsid w:val="002877B2"/>
    <w:rsid w:val="00287D3B"/>
    <w:rsid w:val="00290490"/>
    <w:rsid w:val="0029058D"/>
    <w:rsid w:val="00291808"/>
    <w:rsid w:val="002925E1"/>
    <w:rsid w:val="00292747"/>
    <w:rsid w:val="002928C7"/>
    <w:rsid w:val="00292EAA"/>
    <w:rsid w:val="002934AE"/>
    <w:rsid w:val="00293D64"/>
    <w:rsid w:val="00293D85"/>
    <w:rsid w:val="002952E2"/>
    <w:rsid w:val="00295352"/>
    <w:rsid w:val="002954DA"/>
    <w:rsid w:val="0029573B"/>
    <w:rsid w:val="002959FF"/>
    <w:rsid w:val="00295C05"/>
    <w:rsid w:val="00295D94"/>
    <w:rsid w:val="002962CA"/>
    <w:rsid w:val="00296B0D"/>
    <w:rsid w:val="002A0962"/>
    <w:rsid w:val="002A1899"/>
    <w:rsid w:val="002A297A"/>
    <w:rsid w:val="002A2B0A"/>
    <w:rsid w:val="002A300D"/>
    <w:rsid w:val="002A3136"/>
    <w:rsid w:val="002A3934"/>
    <w:rsid w:val="002A3BAD"/>
    <w:rsid w:val="002A4365"/>
    <w:rsid w:val="002A57DC"/>
    <w:rsid w:val="002A6205"/>
    <w:rsid w:val="002A622D"/>
    <w:rsid w:val="002A6FBE"/>
    <w:rsid w:val="002B1C9E"/>
    <w:rsid w:val="002B1E85"/>
    <w:rsid w:val="002B4A9F"/>
    <w:rsid w:val="002B5559"/>
    <w:rsid w:val="002B565A"/>
    <w:rsid w:val="002B59FE"/>
    <w:rsid w:val="002B689A"/>
    <w:rsid w:val="002B7766"/>
    <w:rsid w:val="002C0576"/>
    <w:rsid w:val="002C07A3"/>
    <w:rsid w:val="002C0977"/>
    <w:rsid w:val="002C1184"/>
    <w:rsid w:val="002C1C98"/>
    <w:rsid w:val="002C24E5"/>
    <w:rsid w:val="002C251F"/>
    <w:rsid w:val="002C2791"/>
    <w:rsid w:val="002C28CD"/>
    <w:rsid w:val="002C2ADE"/>
    <w:rsid w:val="002C3F9C"/>
    <w:rsid w:val="002C4234"/>
    <w:rsid w:val="002C4BB7"/>
    <w:rsid w:val="002C5758"/>
    <w:rsid w:val="002C5BCD"/>
    <w:rsid w:val="002C5D2E"/>
    <w:rsid w:val="002C61B8"/>
    <w:rsid w:val="002C63B6"/>
    <w:rsid w:val="002C6C73"/>
    <w:rsid w:val="002C7216"/>
    <w:rsid w:val="002C73CF"/>
    <w:rsid w:val="002C7B02"/>
    <w:rsid w:val="002D0737"/>
    <w:rsid w:val="002D07BA"/>
    <w:rsid w:val="002D1D19"/>
    <w:rsid w:val="002D2931"/>
    <w:rsid w:val="002D32AD"/>
    <w:rsid w:val="002D3445"/>
    <w:rsid w:val="002D3D52"/>
    <w:rsid w:val="002D3F6E"/>
    <w:rsid w:val="002D3FD2"/>
    <w:rsid w:val="002D4229"/>
    <w:rsid w:val="002D440E"/>
    <w:rsid w:val="002D4826"/>
    <w:rsid w:val="002D4B06"/>
    <w:rsid w:val="002D4DCF"/>
    <w:rsid w:val="002D55E3"/>
    <w:rsid w:val="002D6E78"/>
    <w:rsid w:val="002D721E"/>
    <w:rsid w:val="002D733F"/>
    <w:rsid w:val="002D7B87"/>
    <w:rsid w:val="002E04F4"/>
    <w:rsid w:val="002E058C"/>
    <w:rsid w:val="002E068A"/>
    <w:rsid w:val="002E0738"/>
    <w:rsid w:val="002E0B89"/>
    <w:rsid w:val="002E0D9A"/>
    <w:rsid w:val="002E0E6D"/>
    <w:rsid w:val="002E16EB"/>
    <w:rsid w:val="002E1DB6"/>
    <w:rsid w:val="002E2184"/>
    <w:rsid w:val="002E2E18"/>
    <w:rsid w:val="002E3EF6"/>
    <w:rsid w:val="002E4216"/>
    <w:rsid w:val="002E4C5F"/>
    <w:rsid w:val="002E5A45"/>
    <w:rsid w:val="002E5E1A"/>
    <w:rsid w:val="002E6838"/>
    <w:rsid w:val="002E6D6F"/>
    <w:rsid w:val="002E74B9"/>
    <w:rsid w:val="002E7A11"/>
    <w:rsid w:val="002F03BC"/>
    <w:rsid w:val="002F055C"/>
    <w:rsid w:val="002F0856"/>
    <w:rsid w:val="002F1578"/>
    <w:rsid w:val="002F1E63"/>
    <w:rsid w:val="002F22BE"/>
    <w:rsid w:val="002F3297"/>
    <w:rsid w:val="002F4309"/>
    <w:rsid w:val="002F4657"/>
    <w:rsid w:val="002F55B2"/>
    <w:rsid w:val="002F6B54"/>
    <w:rsid w:val="002F7481"/>
    <w:rsid w:val="002F7A88"/>
    <w:rsid w:val="002F7D4A"/>
    <w:rsid w:val="003001D0"/>
    <w:rsid w:val="00300CA4"/>
    <w:rsid w:val="00302459"/>
    <w:rsid w:val="003028B2"/>
    <w:rsid w:val="00303421"/>
    <w:rsid w:val="00303DCF"/>
    <w:rsid w:val="003045A8"/>
    <w:rsid w:val="00304C7E"/>
    <w:rsid w:val="00305349"/>
    <w:rsid w:val="00305706"/>
    <w:rsid w:val="00305BD4"/>
    <w:rsid w:val="00305EE5"/>
    <w:rsid w:val="00306937"/>
    <w:rsid w:val="0030696B"/>
    <w:rsid w:val="003070AC"/>
    <w:rsid w:val="003072C8"/>
    <w:rsid w:val="003079D9"/>
    <w:rsid w:val="0031075A"/>
    <w:rsid w:val="00310AAF"/>
    <w:rsid w:val="00310ED7"/>
    <w:rsid w:val="00310F20"/>
    <w:rsid w:val="0031179C"/>
    <w:rsid w:val="00312845"/>
    <w:rsid w:val="00312856"/>
    <w:rsid w:val="00312B9D"/>
    <w:rsid w:val="00313741"/>
    <w:rsid w:val="00313898"/>
    <w:rsid w:val="003138B7"/>
    <w:rsid w:val="0031543D"/>
    <w:rsid w:val="00315F2F"/>
    <w:rsid w:val="00316527"/>
    <w:rsid w:val="00316670"/>
    <w:rsid w:val="00316D12"/>
    <w:rsid w:val="00316D4A"/>
    <w:rsid w:val="003176A4"/>
    <w:rsid w:val="003205DA"/>
    <w:rsid w:val="0032143F"/>
    <w:rsid w:val="00322BF9"/>
    <w:rsid w:val="0032399D"/>
    <w:rsid w:val="00323B0B"/>
    <w:rsid w:val="00323B88"/>
    <w:rsid w:val="00324168"/>
    <w:rsid w:val="0032469C"/>
    <w:rsid w:val="00324E7A"/>
    <w:rsid w:val="00325072"/>
    <w:rsid w:val="00325769"/>
    <w:rsid w:val="00325B85"/>
    <w:rsid w:val="00326166"/>
    <w:rsid w:val="00326C1A"/>
    <w:rsid w:val="00326C36"/>
    <w:rsid w:val="00327270"/>
    <w:rsid w:val="00327C4D"/>
    <w:rsid w:val="00327C80"/>
    <w:rsid w:val="00327F09"/>
    <w:rsid w:val="00327FA4"/>
    <w:rsid w:val="0033096F"/>
    <w:rsid w:val="0033143D"/>
    <w:rsid w:val="003315D2"/>
    <w:rsid w:val="00331D74"/>
    <w:rsid w:val="00332A8E"/>
    <w:rsid w:val="00332B0C"/>
    <w:rsid w:val="00333867"/>
    <w:rsid w:val="00333B90"/>
    <w:rsid w:val="00333D7B"/>
    <w:rsid w:val="00333F20"/>
    <w:rsid w:val="0033402E"/>
    <w:rsid w:val="00334080"/>
    <w:rsid w:val="0033427A"/>
    <w:rsid w:val="00334763"/>
    <w:rsid w:val="00334BBB"/>
    <w:rsid w:val="00334CD9"/>
    <w:rsid w:val="00334D07"/>
    <w:rsid w:val="00336954"/>
    <w:rsid w:val="003371C6"/>
    <w:rsid w:val="00337A35"/>
    <w:rsid w:val="0034036D"/>
    <w:rsid w:val="0034077F"/>
    <w:rsid w:val="00340FC5"/>
    <w:rsid w:val="003410EF"/>
    <w:rsid w:val="00341115"/>
    <w:rsid w:val="0034187D"/>
    <w:rsid w:val="00342A3B"/>
    <w:rsid w:val="003436A3"/>
    <w:rsid w:val="00343E7A"/>
    <w:rsid w:val="003446F1"/>
    <w:rsid w:val="00344C5A"/>
    <w:rsid w:val="00344DC2"/>
    <w:rsid w:val="003452B6"/>
    <w:rsid w:val="00345427"/>
    <w:rsid w:val="00346128"/>
    <w:rsid w:val="00346360"/>
    <w:rsid w:val="00347361"/>
    <w:rsid w:val="0035052F"/>
    <w:rsid w:val="00350C1D"/>
    <w:rsid w:val="00350D24"/>
    <w:rsid w:val="003515E1"/>
    <w:rsid w:val="00351711"/>
    <w:rsid w:val="00351B7B"/>
    <w:rsid w:val="00351B9A"/>
    <w:rsid w:val="00351BCD"/>
    <w:rsid w:val="00351F46"/>
    <w:rsid w:val="00352A6B"/>
    <w:rsid w:val="00352B1B"/>
    <w:rsid w:val="0035378A"/>
    <w:rsid w:val="00353A10"/>
    <w:rsid w:val="00355891"/>
    <w:rsid w:val="00355E3A"/>
    <w:rsid w:val="00355E72"/>
    <w:rsid w:val="003561A9"/>
    <w:rsid w:val="00357A1A"/>
    <w:rsid w:val="00360667"/>
    <w:rsid w:val="0036068F"/>
    <w:rsid w:val="003616A4"/>
    <w:rsid w:val="00361ACE"/>
    <w:rsid w:val="00361D36"/>
    <w:rsid w:val="003621A3"/>
    <w:rsid w:val="00363003"/>
    <w:rsid w:val="00363832"/>
    <w:rsid w:val="00363C23"/>
    <w:rsid w:val="003643D7"/>
    <w:rsid w:val="00364C6C"/>
    <w:rsid w:val="0036566C"/>
    <w:rsid w:val="0036578C"/>
    <w:rsid w:val="00366A60"/>
    <w:rsid w:val="00366FA1"/>
    <w:rsid w:val="00367757"/>
    <w:rsid w:val="00367B24"/>
    <w:rsid w:val="00367F23"/>
    <w:rsid w:val="0037004C"/>
    <w:rsid w:val="003703CB"/>
    <w:rsid w:val="00370B08"/>
    <w:rsid w:val="003710F0"/>
    <w:rsid w:val="0037119B"/>
    <w:rsid w:val="00371516"/>
    <w:rsid w:val="003716D6"/>
    <w:rsid w:val="00371EED"/>
    <w:rsid w:val="00372A7D"/>
    <w:rsid w:val="00373E10"/>
    <w:rsid w:val="0037427C"/>
    <w:rsid w:val="003753B4"/>
    <w:rsid w:val="003767C8"/>
    <w:rsid w:val="00376B9E"/>
    <w:rsid w:val="00376C72"/>
    <w:rsid w:val="003772EC"/>
    <w:rsid w:val="00377AF6"/>
    <w:rsid w:val="00380EBB"/>
    <w:rsid w:val="003811D2"/>
    <w:rsid w:val="003819DC"/>
    <w:rsid w:val="00381A8A"/>
    <w:rsid w:val="00381C0D"/>
    <w:rsid w:val="00381DA3"/>
    <w:rsid w:val="00381F6C"/>
    <w:rsid w:val="00381FBE"/>
    <w:rsid w:val="003825B9"/>
    <w:rsid w:val="00382B41"/>
    <w:rsid w:val="00384193"/>
    <w:rsid w:val="00384D21"/>
    <w:rsid w:val="00384EED"/>
    <w:rsid w:val="00385F69"/>
    <w:rsid w:val="003862C3"/>
    <w:rsid w:val="00387985"/>
    <w:rsid w:val="00387C4F"/>
    <w:rsid w:val="00390EDA"/>
    <w:rsid w:val="00391586"/>
    <w:rsid w:val="00391ACE"/>
    <w:rsid w:val="00391BE3"/>
    <w:rsid w:val="003923AD"/>
    <w:rsid w:val="003926DD"/>
    <w:rsid w:val="00392839"/>
    <w:rsid w:val="00392E50"/>
    <w:rsid w:val="00393AB1"/>
    <w:rsid w:val="00393C91"/>
    <w:rsid w:val="00393FA3"/>
    <w:rsid w:val="0039412B"/>
    <w:rsid w:val="00394CF5"/>
    <w:rsid w:val="003954F3"/>
    <w:rsid w:val="0039604D"/>
    <w:rsid w:val="00396450"/>
    <w:rsid w:val="00397403"/>
    <w:rsid w:val="003A11F5"/>
    <w:rsid w:val="003A128E"/>
    <w:rsid w:val="003A140F"/>
    <w:rsid w:val="003A17C7"/>
    <w:rsid w:val="003A28D2"/>
    <w:rsid w:val="003A2E9C"/>
    <w:rsid w:val="003A38B6"/>
    <w:rsid w:val="003A3B3F"/>
    <w:rsid w:val="003A41E4"/>
    <w:rsid w:val="003A4347"/>
    <w:rsid w:val="003A4A79"/>
    <w:rsid w:val="003A4FE1"/>
    <w:rsid w:val="003A557A"/>
    <w:rsid w:val="003A6CC1"/>
    <w:rsid w:val="003A6D6C"/>
    <w:rsid w:val="003B006E"/>
    <w:rsid w:val="003B05E6"/>
    <w:rsid w:val="003B211F"/>
    <w:rsid w:val="003B2C0A"/>
    <w:rsid w:val="003B3117"/>
    <w:rsid w:val="003B3C7A"/>
    <w:rsid w:val="003B5299"/>
    <w:rsid w:val="003B5800"/>
    <w:rsid w:val="003B7576"/>
    <w:rsid w:val="003B7A28"/>
    <w:rsid w:val="003B7C7F"/>
    <w:rsid w:val="003C1312"/>
    <w:rsid w:val="003C1C41"/>
    <w:rsid w:val="003C1C55"/>
    <w:rsid w:val="003C22F9"/>
    <w:rsid w:val="003C28BF"/>
    <w:rsid w:val="003C3310"/>
    <w:rsid w:val="003C339D"/>
    <w:rsid w:val="003C4C53"/>
    <w:rsid w:val="003C6D51"/>
    <w:rsid w:val="003C7216"/>
    <w:rsid w:val="003D0AF9"/>
    <w:rsid w:val="003D0F1F"/>
    <w:rsid w:val="003D1793"/>
    <w:rsid w:val="003D17A2"/>
    <w:rsid w:val="003D1A37"/>
    <w:rsid w:val="003D37EE"/>
    <w:rsid w:val="003D4B4C"/>
    <w:rsid w:val="003D4CBF"/>
    <w:rsid w:val="003D5DCB"/>
    <w:rsid w:val="003D5E1E"/>
    <w:rsid w:val="003D6692"/>
    <w:rsid w:val="003D6F36"/>
    <w:rsid w:val="003D7ACC"/>
    <w:rsid w:val="003D7C56"/>
    <w:rsid w:val="003E0C26"/>
    <w:rsid w:val="003E0E02"/>
    <w:rsid w:val="003E0E80"/>
    <w:rsid w:val="003E0EE5"/>
    <w:rsid w:val="003E0F89"/>
    <w:rsid w:val="003E153A"/>
    <w:rsid w:val="003E1E57"/>
    <w:rsid w:val="003E2447"/>
    <w:rsid w:val="003E289C"/>
    <w:rsid w:val="003E2BB4"/>
    <w:rsid w:val="003E2E64"/>
    <w:rsid w:val="003E2F8A"/>
    <w:rsid w:val="003E3ABC"/>
    <w:rsid w:val="003E418E"/>
    <w:rsid w:val="003E41EE"/>
    <w:rsid w:val="003E47BE"/>
    <w:rsid w:val="003E47FE"/>
    <w:rsid w:val="003E4F0B"/>
    <w:rsid w:val="003E576C"/>
    <w:rsid w:val="003E6759"/>
    <w:rsid w:val="003E69F6"/>
    <w:rsid w:val="003E6C2A"/>
    <w:rsid w:val="003E6CF7"/>
    <w:rsid w:val="003E71D0"/>
    <w:rsid w:val="003E7F9C"/>
    <w:rsid w:val="003F1A72"/>
    <w:rsid w:val="003F1CAE"/>
    <w:rsid w:val="003F1DA4"/>
    <w:rsid w:val="003F207A"/>
    <w:rsid w:val="003F21A6"/>
    <w:rsid w:val="003F2306"/>
    <w:rsid w:val="003F27D5"/>
    <w:rsid w:val="003F2910"/>
    <w:rsid w:val="003F2930"/>
    <w:rsid w:val="003F3DC7"/>
    <w:rsid w:val="003F4134"/>
    <w:rsid w:val="003F5304"/>
    <w:rsid w:val="003F5516"/>
    <w:rsid w:val="003F58DB"/>
    <w:rsid w:val="003F61E5"/>
    <w:rsid w:val="003F62C3"/>
    <w:rsid w:val="003F65D6"/>
    <w:rsid w:val="003F6655"/>
    <w:rsid w:val="003F6A59"/>
    <w:rsid w:val="003F7F8B"/>
    <w:rsid w:val="0040125D"/>
    <w:rsid w:val="00401BD5"/>
    <w:rsid w:val="00401DBA"/>
    <w:rsid w:val="00402CBC"/>
    <w:rsid w:val="00403967"/>
    <w:rsid w:val="00405093"/>
    <w:rsid w:val="00405FF1"/>
    <w:rsid w:val="0040734E"/>
    <w:rsid w:val="00407AFD"/>
    <w:rsid w:val="00407F9F"/>
    <w:rsid w:val="00411119"/>
    <w:rsid w:val="004111BE"/>
    <w:rsid w:val="004122AC"/>
    <w:rsid w:val="00413084"/>
    <w:rsid w:val="004131D9"/>
    <w:rsid w:val="0041390E"/>
    <w:rsid w:val="00414205"/>
    <w:rsid w:val="00414BB3"/>
    <w:rsid w:val="00415805"/>
    <w:rsid w:val="00415963"/>
    <w:rsid w:val="0041669D"/>
    <w:rsid w:val="00416961"/>
    <w:rsid w:val="00416AC5"/>
    <w:rsid w:val="004174F7"/>
    <w:rsid w:val="00420175"/>
    <w:rsid w:val="004201F7"/>
    <w:rsid w:val="0042155F"/>
    <w:rsid w:val="00421EAB"/>
    <w:rsid w:val="00421F90"/>
    <w:rsid w:val="004248F3"/>
    <w:rsid w:val="00424FF5"/>
    <w:rsid w:val="0042735E"/>
    <w:rsid w:val="00431603"/>
    <w:rsid w:val="00433E63"/>
    <w:rsid w:val="00433F0A"/>
    <w:rsid w:val="00434732"/>
    <w:rsid w:val="00434BE2"/>
    <w:rsid w:val="00435C19"/>
    <w:rsid w:val="00435C42"/>
    <w:rsid w:val="0043638A"/>
    <w:rsid w:val="00437000"/>
    <w:rsid w:val="00437A99"/>
    <w:rsid w:val="00442B6A"/>
    <w:rsid w:val="00443451"/>
    <w:rsid w:val="0044357D"/>
    <w:rsid w:val="00444603"/>
    <w:rsid w:val="00444983"/>
    <w:rsid w:val="00444F8C"/>
    <w:rsid w:val="004453C9"/>
    <w:rsid w:val="00445A1C"/>
    <w:rsid w:val="00445D24"/>
    <w:rsid w:val="004466B4"/>
    <w:rsid w:val="0044674B"/>
    <w:rsid w:val="00446771"/>
    <w:rsid w:val="00446E98"/>
    <w:rsid w:val="0045051C"/>
    <w:rsid w:val="00452F3E"/>
    <w:rsid w:val="0045373F"/>
    <w:rsid w:val="00453767"/>
    <w:rsid w:val="00453897"/>
    <w:rsid w:val="00454B84"/>
    <w:rsid w:val="004555BE"/>
    <w:rsid w:val="00455F90"/>
    <w:rsid w:val="004567A8"/>
    <w:rsid w:val="00456EF9"/>
    <w:rsid w:val="00456FB2"/>
    <w:rsid w:val="00457262"/>
    <w:rsid w:val="0046072B"/>
    <w:rsid w:val="004607BA"/>
    <w:rsid w:val="00460DFE"/>
    <w:rsid w:val="00461329"/>
    <w:rsid w:val="00461428"/>
    <w:rsid w:val="004616C2"/>
    <w:rsid w:val="00461BD0"/>
    <w:rsid w:val="0046200E"/>
    <w:rsid w:val="00463E1F"/>
    <w:rsid w:val="0046587C"/>
    <w:rsid w:val="00465DB2"/>
    <w:rsid w:val="004667D7"/>
    <w:rsid w:val="00466B68"/>
    <w:rsid w:val="00467069"/>
    <w:rsid w:val="0046759A"/>
    <w:rsid w:val="004676B3"/>
    <w:rsid w:val="004678D4"/>
    <w:rsid w:val="00467DF7"/>
    <w:rsid w:val="00470C93"/>
    <w:rsid w:val="00471057"/>
    <w:rsid w:val="0047197D"/>
    <w:rsid w:val="00471C06"/>
    <w:rsid w:val="00471C60"/>
    <w:rsid w:val="00472352"/>
    <w:rsid w:val="00472E69"/>
    <w:rsid w:val="00473009"/>
    <w:rsid w:val="004736B9"/>
    <w:rsid w:val="00473A4E"/>
    <w:rsid w:val="00473B6E"/>
    <w:rsid w:val="0047550E"/>
    <w:rsid w:val="00475FA8"/>
    <w:rsid w:val="004761B3"/>
    <w:rsid w:val="00476DB5"/>
    <w:rsid w:val="0047735D"/>
    <w:rsid w:val="0047739E"/>
    <w:rsid w:val="0048042E"/>
    <w:rsid w:val="0048117D"/>
    <w:rsid w:val="0048199D"/>
    <w:rsid w:val="004822A4"/>
    <w:rsid w:val="00483046"/>
    <w:rsid w:val="00483D3E"/>
    <w:rsid w:val="00483ED7"/>
    <w:rsid w:val="00484C59"/>
    <w:rsid w:val="0048587A"/>
    <w:rsid w:val="004865D5"/>
    <w:rsid w:val="004866AE"/>
    <w:rsid w:val="00486D5B"/>
    <w:rsid w:val="00487A88"/>
    <w:rsid w:val="004905B3"/>
    <w:rsid w:val="0049088D"/>
    <w:rsid w:val="00490F7D"/>
    <w:rsid w:val="004911CD"/>
    <w:rsid w:val="0049120E"/>
    <w:rsid w:val="0049166A"/>
    <w:rsid w:val="00491897"/>
    <w:rsid w:val="00491C2A"/>
    <w:rsid w:val="00491D54"/>
    <w:rsid w:val="00491F4A"/>
    <w:rsid w:val="00492043"/>
    <w:rsid w:val="004921E1"/>
    <w:rsid w:val="00492263"/>
    <w:rsid w:val="0049230D"/>
    <w:rsid w:val="00492450"/>
    <w:rsid w:val="00492515"/>
    <w:rsid w:val="00493899"/>
    <w:rsid w:val="004938DF"/>
    <w:rsid w:val="00493D19"/>
    <w:rsid w:val="00494473"/>
    <w:rsid w:val="00494A79"/>
    <w:rsid w:val="00494E96"/>
    <w:rsid w:val="004951D8"/>
    <w:rsid w:val="00495954"/>
    <w:rsid w:val="00495A6C"/>
    <w:rsid w:val="00496753"/>
    <w:rsid w:val="00496A9B"/>
    <w:rsid w:val="004A057E"/>
    <w:rsid w:val="004A1824"/>
    <w:rsid w:val="004A2817"/>
    <w:rsid w:val="004A2EF8"/>
    <w:rsid w:val="004A2FDA"/>
    <w:rsid w:val="004A35BF"/>
    <w:rsid w:val="004A3677"/>
    <w:rsid w:val="004A425B"/>
    <w:rsid w:val="004A49E9"/>
    <w:rsid w:val="004A58B2"/>
    <w:rsid w:val="004A65CE"/>
    <w:rsid w:val="004A66C7"/>
    <w:rsid w:val="004A6E92"/>
    <w:rsid w:val="004A715A"/>
    <w:rsid w:val="004A724B"/>
    <w:rsid w:val="004A7C06"/>
    <w:rsid w:val="004B0729"/>
    <w:rsid w:val="004B3586"/>
    <w:rsid w:val="004B3C68"/>
    <w:rsid w:val="004B3D21"/>
    <w:rsid w:val="004B4932"/>
    <w:rsid w:val="004B4C38"/>
    <w:rsid w:val="004B5426"/>
    <w:rsid w:val="004B5622"/>
    <w:rsid w:val="004B5AFF"/>
    <w:rsid w:val="004B6C9E"/>
    <w:rsid w:val="004B73E3"/>
    <w:rsid w:val="004C0D68"/>
    <w:rsid w:val="004C162A"/>
    <w:rsid w:val="004C4F0B"/>
    <w:rsid w:val="004C4FA4"/>
    <w:rsid w:val="004C5480"/>
    <w:rsid w:val="004C55F2"/>
    <w:rsid w:val="004C5649"/>
    <w:rsid w:val="004C5CE2"/>
    <w:rsid w:val="004C6AC4"/>
    <w:rsid w:val="004C702B"/>
    <w:rsid w:val="004C70D4"/>
    <w:rsid w:val="004C7705"/>
    <w:rsid w:val="004C7E31"/>
    <w:rsid w:val="004D0597"/>
    <w:rsid w:val="004D06A7"/>
    <w:rsid w:val="004D15B5"/>
    <w:rsid w:val="004D1752"/>
    <w:rsid w:val="004D221A"/>
    <w:rsid w:val="004D244F"/>
    <w:rsid w:val="004D24E2"/>
    <w:rsid w:val="004D3397"/>
    <w:rsid w:val="004D33A2"/>
    <w:rsid w:val="004D4566"/>
    <w:rsid w:val="004D4EB4"/>
    <w:rsid w:val="004D5606"/>
    <w:rsid w:val="004D6157"/>
    <w:rsid w:val="004D679B"/>
    <w:rsid w:val="004D70FD"/>
    <w:rsid w:val="004D7288"/>
    <w:rsid w:val="004D7E74"/>
    <w:rsid w:val="004E118E"/>
    <w:rsid w:val="004E1D68"/>
    <w:rsid w:val="004E1F58"/>
    <w:rsid w:val="004E20C4"/>
    <w:rsid w:val="004E22D6"/>
    <w:rsid w:val="004E33E8"/>
    <w:rsid w:val="004E35E7"/>
    <w:rsid w:val="004E3645"/>
    <w:rsid w:val="004E375B"/>
    <w:rsid w:val="004E6920"/>
    <w:rsid w:val="004E7EAF"/>
    <w:rsid w:val="004F00D5"/>
    <w:rsid w:val="004F03EA"/>
    <w:rsid w:val="004F0D89"/>
    <w:rsid w:val="004F12DD"/>
    <w:rsid w:val="004F18AC"/>
    <w:rsid w:val="004F2ABD"/>
    <w:rsid w:val="004F2B49"/>
    <w:rsid w:val="004F2C82"/>
    <w:rsid w:val="004F30D4"/>
    <w:rsid w:val="004F3427"/>
    <w:rsid w:val="004F34D4"/>
    <w:rsid w:val="004F3BBB"/>
    <w:rsid w:val="004F3D6D"/>
    <w:rsid w:val="004F3E6C"/>
    <w:rsid w:val="004F5418"/>
    <w:rsid w:val="004F58BC"/>
    <w:rsid w:val="004F60A9"/>
    <w:rsid w:val="004F6211"/>
    <w:rsid w:val="004F6E40"/>
    <w:rsid w:val="004F6F3D"/>
    <w:rsid w:val="004F73A5"/>
    <w:rsid w:val="004F76F4"/>
    <w:rsid w:val="0050050A"/>
    <w:rsid w:val="00501087"/>
    <w:rsid w:val="00502590"/>
    <w:rsid w:val="00502CE9"/>
    <w:rsid w:val="005037B7"/>
    <w:rsid w:val="00503992"/>
    <w:rsid w:val="00504E75"/>
    <w:rsid w:val="005052DD"/>
    <w:rsid w:val="005058DE"/>
    <w:rsid w:val="005058E9"/>
    <w:rsid w:val="00506579"/>
    <w:rsid w:val="00506CEC"/>
    <w:rsid w:val="00507881"/>
    <w:rsid w:val="00510138"/>
    <w:rsid w:val="00510F75"/>
    <w:rsid w:val="0051159F"/>
    <w:rsid w:val="005125DD"/>
    <w:rsid w:val="00512908"/>
    <w:rsid w:val="0051371E"/>
    <w:rsid w:val="00513C0B"/>
    <w:rsid w:val="00513C62"/>
    <w:rsid w:val="00513E22"/>
    <w:rsid w:val="00514747"/>
    <w:rsid w:val="00514BA5"/>
    <w:rsid w:val="00514D26"/>
    <w:rsid w:val="005153EA"/>
    <w:rsid w:val="00515C79"/>
    <w:rsid w:val="005162A4"/>
    <w:rsid w:val="00516344"/>
    <w:rsid w:val="0051671D"/>
    <w:rsid w:val="00516808"/>
    <w:rsid w:val="00517561"/>
    <w:rsid w:val="00517EB2"/>
    <w:rsid w:val="005203B7"/>
    <w:rsid w:val="0052072E"/>
    <w:rsid w:val="00522317"/>
    <w:rsid w:val="005223F3"/>
    <w:rsid w:val="00522A48"/>
    <w:rsid w:val="00523451"/>
    <w:rsid w:val="00523857"/>
    <w:rsid w:val="00523B56"/>
    <w:rsid w:val="005240A7"/>
    <w:rsid w:val="005242AC"/>
    <w:rsid w:val="00525B81"/>
    <w:rsid w:val="005266F6"/>
    <w:rsid w:val="00526805"/>
    <w:rsid w:val="00526910"/>
    <w:rsid w:val="005269D1"/>
    <w:rsid w:val="00526E5C"/>
    <w:rsid w:val="0052757D"/>
    <w:rsid w:val="0052762D"/>
    <w:rsid w:val="005276BE"/>
    <w:rsid w:val="0052770D"/>
    <w:rsid w:val="00527855"/>
    <w:rsid w:val="005304D0"/>
    <w:rsid w:val="00530D6B"/>
    <w:rsid w:val="00531526"/>
    <w:rsid w:val="00531843"/>
    <w:rsid w:val="00531C66"/>
    <w:rsid w:val="005325DA"/>
    <w:rsid w:val="00532F2B"/>
    <w:rsid w:val="005330EE"/>
    <w:rsid w:val="005331EC"/>
    <w:rsid w:val="005343C7"/>
    <w:rsid w:val="00535045"/>
    <w:rsid w:val="005357B3"/>
    <w:rsid w:val="00536460"/>
    <w:rsid w:val="005365BE"/>
    <w:rsid w:val="0053696F"/>
    <w:rsid w:val="00537148"/>
    <w:rsid w:val="005375EE"/>
    <w:rsid w:val="0054059A"/>
    <w:rsid w:val="005407C3"/>
    <w:rsid w:val="00541256"/>
    <w:rsid w:val="00541A1A"/>
    <w:rsid w:val="0054276F"/>
    <w:rsid w:val="00543D7D"/>
    <w:rsid w:val="00543EC9"/>
    <w:rsid w:val="0054438E"/>
    <w:rsid w:val="00544570"/>
    <w:rsid w:val="00544B1D"/>
    <w:rsid w:val="00545B37"/>
    <w:rsid w:val="00546EF4"/>
    <w:rsid w:val="0054785C"/>
    <w:rsid w:val="005501A1"/>
    <w:rsid w:val="00550DD0"/>
    <w:rsid w:val="00550E17"/>
    <w:rsid w:val="00551346"/>
    <w:rsid w:val="00551C3E"/>
    <w:rsid w:val="00551DDD"/>
    <w:rsid w:val="00552D60"/>
    <w:rsid w:val="00553037"/>
    <w:rsid w:val="005537D2"/>
    <w:rsid w:val="00553937"/>
    <w:rsid w:val="00553B83"/>
    <w:rsid w:val="00553BAF"/>
    <w:rsid w:val="00554182"/>
    <w:rsid w:val="005546C7"/>
    <w:rsid w:val="00554888"/>
    <w:rsid w:val="00554AA3"/>
    <w:rsid w:val="00554BDC"/>
    <w:rsid w:val="00555282"/>
    <w:rsid w:val="005554DB"/>
    <w:rsid w:val="005561C9"/>
    <w:rsid w:val="00556A8C"/>
    <w:rsid w:val="005571B6"/>
    <w:rsid w:val="00557483"/>
    <w:rsid w:val="00557760"/>
    <w:rsid w:val="00557C6C"/>
    <w:rsid w:val="005602B5"/>
    <w:rsid w:val="005609CE"/>
    <w:rsid w:val="00561A61"/>
    <w:rsid w:val="005620F4"/>
    <w:rsid w:val="005634D7"/>
    <w:rsid w:val="005646BF"/>
    <w:rsid w:val="00564933"/>
    <w:rsid w:val="005650FA"/>
    <w:rsid w:val="0056564F"/>
    <w:rsid w:val="0056614D"/>
    <w:rsid w:val="005668BF"/>
    <w:rsid w:val="00566E95"/>
    <w:rsid w:val="0056743B"/>
    <w:rsid w:val="0056791E"/>
    <w:rsid w:val="00567B80"/>
    <w:rsid w:val="00567EB3"/>
    <w:rsid w:val="0057136E"/>
    <w:rsid w:val="00571837"/>
    <w:rsid w:val="00572763"/>
    <w:rsid w:val="00572797"/>
    <w:rsid w:val="005728A9"/>
    <w:rsid w:val="00572B6C"/>
    <w:rsid w:val="00572D3D"/>
    <w:rsid w:val="00572E03"/>
    <w:rsid w:val="0057300B"/>
    <w:rsid w:val="00573C46"/>
    <w:rsid w:val="00573CE7"/>
    <w:rsid w:val="00573E45"/>
    <w:rsid w:val="0057426E"/>
    <w:rsid w:val="00574EB4"/>
    <w:rsid w:val="00575C14"/>
    <w:rsid w:val="00576B52"/>
    <w:rsid w:val="00576C35"/>
    <w:rsid w:val="00577754"/>
    <w:rsid w:val="00580FDE"/>
    <w:rsid w:val="0058102B"/>
    <w:rsid w:val="005813E2"/>
    <w:rsid w:val="005823D0"/>
    <w:rsid w:val="005824C1"/>
    <w:rsid w:val="00582A7D"/>
    <w:rsid w:val="00582FCC"/>
    <w:rsid w:val="005831DD"/>
    <w:rsid w:val="00583D3F"/>
    <w:rsid w:val="005842EF"/>
    <w:rsid w:val="0058472F"/>
    <w:rsid w:val="00584912"/>
    <w:rsid w:val="005854AF"/>
    <w:rsid w:val="00585EC7"/>
    <w:rsid w:val="005865D8"/>
    <w:rsid w:val="00586DD7"/>
    <w:rsid w:val="00586F21"/>
    <w:rsid w:val="00592B67"/>
    <w:rsid w:val="005933D5"/>
    <w:rsid w:val="00593593"/>
    <w:rsid w:val="005936AE"/>
    <w:rsid w:val="005936AF"/>
    <w:rsid w:val="0059437A"/>
    <w:rsid w:val="005944E5"/>
    <w:rsid w:val="00595FA8"/>
    <w:rsid w:val="0059611C"/>
    <w:rsid w:val="00596D91"/>
    <w:rsid w:val="00596F25"/>
    <w:rsid w:val="005A1069"/>
    <w:rsid w:val="005A25CF"/>
    <w:rsid w:val="005A2C0F"/>
    <w:rsid w:val="005A32C8"/>
    <w:rsid w:val="005A3E77"/>
    <w:rsid w:val="005A5317"/>
    <w:rsid w:val="005A5B67"/>
    <w:rsid w:val="005A6254"/>
    <w:rsid w:val="005A6F63"/>
    <w:rsid w:val="005A6F89"/>
    <w:rsid w:val="005A77C6"/>
    <w:rsid w:val="005A7E31"/>
    <w:rsid w:val="005B0621"/>
    <w:rsid w:val="005B0E84"/>
    <w:rsid w:val="005B142A"/>
    <w:rsid w:val="005B17D5"/>
    <w:rsid w:val="005B1CA4"/>
    <w:rsid w:val="005B21D8"/>
    <w:rsid w:val="005B286F"/>
    <w:rsid w:val="005B288E"/>
    <w:rsid w:val="005B33CA"/>
    <w:rsid w:val="005B45FF"/>
    <w:rsid w:val="005B4AC0"/>
    <w:rsid w:val="005B5014"/>
    <w:rsid w:val="005B5098"/>
    <w:rsid w:val="005B57AD"/>
    <w:rsid w:val="005B662F"/>
    <w:rsid w:val="005B7923"/>
    <w:rsid w:val="005B79EA"/>
    <w:rsid w:val="005C0016"/>
    <w:rsid w:val="005C0B1C"/>
    <w:rsid w:val="005C12A7"/>
    <w:rsid w:val="005C1AEE"/>
    <w:rsid w:val="005C25B7"/>
    <w:rsid w:val="005C34AA"/>
    <w:rsid w:val="005C37BD"/>
    <w:rsid w:val="005C3EA0"/>
    <w:rsid w:val="005C54E1"/>
    <w:rsid w:val="005C7656"/>
    <w:rsid w:val="005C7E7A"/>
    <w:rsid w:val="005D0520"/>
    <w:rsid w:val="005D0AAD"/>
    <w:rsid w:val="005D1877"/>
    <w:rsid w:val="005D1DAC"/>
    <w:rsid w:val="005D2624"/>
    <w:rsid w:val="005D2E91"/>
    <w:rsid w:val="005D34B6"/>
    <w:rsid w:val="005D38FB"/>
    <w:rsid w:val="005D3FB4"/>
    <w:rsid w:val="005D4498"/>
    <w:rsid w:val="005D46A2"/>
    <w:rsid w:val="005D4A7F"/>
    <w:rsid w:val="005D54E5"/>
    <w:rsid w:val="005D5A2E"/>
    <w:rsid w:val="005D5CBB"/>
    <w:rsid w:val="005D6957"/>
    <w:rsid w:val="005D6B8A"/>
    <w:rsid w:val="005D6BDE"/>
    <w:rsid w:val="005D72D9"/>
    <w:rsid w:val="005D7327"/>
    <w:rsid w:val="005D73C6"/>
    <w:rsid w:val="005D7B9F"/>
    <w:rsid w:val="005E0079"/>
    <w:rsid w:val="005E066C"/>
    <w:rsid w:val="005E1FEC"/>
    <w:rsid w:val="005E2BFD"/>
    <w:rsid w:val="005E2C44"/>
    <w:rsid w:val="005E300B"/>
    <w:rsid w:val="005E3280"/>
    <w:rsid w:val="005E5A4E"/>
    <w:rsid w:val="005E6384"/>
    <w:rsid w:val="005E64D8"/>
    <w:rsid w:val="005F0E08"/>
    <w:rsid w:val="005F1896"/>
    <w:rsid w:val="005F3EC5"/>
    <w:rsid w:val="005F48CD"/>
    <w:rsid w:val="005F57D1"/>
    <w:rsid w:val="005F583F"/>
    <w:rsid w:val="005F5AE1"/>
    <w:rsid w:val="005F64EB"/>
    <w:rsid w:val="005F6991"/>
    <w:rsid w:val="005F6ECB"/>
    <w:rsid w:val="005F721D"/>
    <w:rsid w:val="005F7E9C"/>
    <w:rsid w:val="00600BB7"/>
    <w:rsid w:val="00600E5D"/>
    <w:rsid w:val="006012B9"/>
    <w:rsid w:val="00602547"/>
    <w:rsid w:val="00602692"/>
    <w:rsid w:val="0060352C"/>
    <w:rsid w:val="00603863"/>
    <w:rsid w:val="00603A7E"/>
    <w:rsid w:val="006041D7"/>
    <w:rsid w:val="006050F1"/>
    <w:rsid w:val="00605626"/>
    <w:rsid w:val="006056DB"/>
    <w:rsid w:val="00605829"/>
    <w:rsid w:val="00605C53"/>
    <w:rsid w:val="006069E7"/>
    <w:rsid w:val="00606F7E"/>
    <w:rsid w:val="00607113"/>
    <w:rsid w:val="0060743C"/>
    <w:rsid w:val="006079DE"/>
    <w:rsid w:val="0061014A"/>
    <w:rsid w:val="00610758"/>
    <w:rsid w:val="0061083C"/>
    <w:rsid w:val="00610D24"/>
    <w:rsid w:val="0061138D"/>
    <w:rsid w:val="006117AD"/>
    <w:rsid w:val="00611D7A"/>
    <w:rsid w:val="00611DA5"/>
    <w:rsid w:val="00612242"/>
    <w:rsid w:val="00612D6E"/>
    <w:rsid w:val="00612FAA"/>
    <w:rsid w:val="00613299"/>
    <w:rsid w:val="006142A1"/>
    <w:rsid w:val="0061448B"/>
    <w:rsid w:val="00615149"/>
    <w:rsid w:val="00615C80"/>
    <w:rsid w:val="00615DDC"/>
    <w:rsid w:val="00615EEE"/>
    <w:rsid w:val="006163EF"/>
    <w:rsid w:val="006209D5"/>
    <w:rsid w:val="00620B0F"/>
    <w:rsid w:val="00621404"/>
    <w:rsid w:val="00621D08"/>
    <w:rsid w:val="00621D26"/>
    <w:rsid w:val="006220DD"/>
    <w:rsid w:val="00622936"/>
    <w:rsid w:val="00623645"/>
    <w:rsid w:val="00623FA7"/>
    <w:rsid w:val="00624082"/>
    <w:rsid w:val="00625777"/>
    <w:rsid w:val="00625938"/>
    <w:rsid w:val="00625940"/>
    <w:rsid w:val="00625AD1"/>
    <w:rsid w:val="00625CE4"/>
    <w:rsid w:val="00625CEF"/>
    <w:rsid w:val="006267FC"/>
    <w:rsid w:val="0062703D"/>
    <w:rsid w:val="0062772E"/>
    <w:rsid w:val="00627890"/>
    <w:rsid w:val="00627913"/>
    <w:rsid w:val="00627D95"/>
    <w:rsid w:val="00630165"/>
    <w:rsid w:val="006302A6"/>
    <w:rsid w:val="00630583"/>
    <w:rsid w:val="00630D2E"/>
    <w:rsid w:val="00631181"/>
    <w:rsid w:val="00631C11"/>
    <w:rsid w:val="0063227A"/>
    <w:rsid w:val="0063381B"/>
    <w:rsid w:val="00634784"/>
    <w:rsid w:val="00634C72"/>
    <w:rsid w:val="00635D14"/>
    <w:rsid w:val="006407A8"/>
    <w:rsid w:val="00640D5E"/>
    <w:rsid w:val="00641134"/>
    <w:rsid w:val="006418C7"/>
    <w:rsid w:val="00641B15"/>
    <w:rsid w:val="00641B51"/>
    <w:rsid w:val="006429F8"/>
    <w:rsid w:val="00642A2C"/>
    <w:rsid w:val="00642B3B"/>
    <w:rsid w:val="006438A5"/>
    <w:rsid w:val="006439F7"/>
    <w:rsid w:val="00643C35"/>
    <w:rsid w:val="00643D70"/>
    <w:rsid w:val="00643FDE"/>
    <w:rsid w:val="00644667"/>
    <w:rsid w:val="0064476B"/>
    <w:rsid w:val="00645C60"/>
    <w:rsid w:val="00646458"/>
    <w:rsid w:val="00646CC3"/>
    <w:rsid w:val="00647989"/>
    <w:rsid w:val="00647CE0"/>
    <w:rsid w:val="00647E1E"/>
    <w:rsid w:val="006509A5"/>
    <w:rsid w:val="00651AC6"/>
    <w:rsid w:val="00652E41"/>
    <w:rsid w:val="0065385D"/>
    <w:rsid w:val="00653A9E"/>
    <w:rsid w:val="00653B8B"/>
    <w:rsid w:val="00653D47"/>
    <w:rsid w:val="00653EAE"/>
    <w:rsid w:val="0065407D"/>
    <w:rsid w:val="00654550"/>
    <w:rsid w:val="00654A1C"/>
    <w:rsid w:val="00654CC9"/>
    <w:rsid w:val="00655059"/>
    <w:rsid w:val="006553EB"/>
    <w:rsid w:val="0065561A"/>
    <w:rsid w:val="00656298"/>
    <w:rsid w:val="0065709A"/>
    <w:rsid w:val="0066041B"/>
    <w:rsid w:val="00661D49"/>
    <w:rsid w:val="00661F1C"/>
    <w:rsid w:val="0066212B"/>
    <w:rsid w:val="00662CF9"/>
    <w:rsid w:val="006631D6"/>
    <w:rsid w:val="006631D9"/>
    <w:rsid w:val="006645D7"/>
    <w:rsid w:val="00664888"/>
    <w:rsid w:val="00664C7E"/>
    <w:rsid w:val="00664CC1"/>
    <w:rsid w:val="00664DCF"/>
    <w:rsid w:val="00665364"/>
    <w:rsid w:val="006654A4"/>
    <w:rsid w:val="0066605D"/>
    <w:rsid w:val="006660C6"/>
    <w:rsid w:val="00666395"/>
    <w:rsid w:val="006663EE"/>
    <w:rsid w:val="00666DB1"/>
    <w:rsid w:val="00666DD8"/>
    <w:rsid w:val="00666F6C"/>
    <w:rsid w:val="00670476"/>
    <w:rsid w:val="006705E4"/>
    <w:rsid w:val="006705F0"/>
    <w:rsid w:val="00670A93"/>
    <w:rsid w:val="00670B5A"/>
    <w:rsid w:val="00670B7C"/>
    <w:rsid w:val="00670E91"/>
    <w:rsid w:val="00671283"/>
    <w:rsid w:val="00671924"/>
    <w:rsid w:val="006726F6"/>
    <w:rsid w:val="00673B4E"/>
    <w:rsid w:val="00673F38"/>
    <w:rsid w:val="0067432D"/>
    <w:rsid w:val="006747DC"/>
    <w:rsid w:val="00674A87"/>
    <w:rsid w:val="0067568A"/>
    <w:rsid w:val="00675E00"/>
    <w:rsid w:val="00676030"/>
    <w:rsid w:val="006765FF"/>
    <w:rsid w:val="00676AD2"/>
    <w:rsid w:val="00680C84"/>
    <w:rsid w:val="00680E4D"/>
    <w:rsid w:val="00681497"/>
    <w:rsid w:val="006820CD"/>
    <w:rsid w:val="00682AAA"/>
    <w:rsid w:val="00683590"/>
    <w:rsid w:val="00683723"/>
    <w:rsid w:val="00683A98"/>
    <w:rsid w:val="0068422A"/>
    <w:rsid w:val="006853A9"/>
    <w:rsid w:val="00685676"/>
    <w:rsid w:val="00685CB5"/>
    <w:rsid w:val="006860F0"/>
    <w:rsid w:val="0068764D"/>
    <w:rsid w:val="006906C2"/>
    <w:rsid w:val="00690D77"/>
    <w:rsid w:val="00691C54"/>
    <w:rsid w:val="00691F93"/>
    <w:rsid w:val="00692979"/>
    <w:rsid w:val="00692DFD"/>
    <w:rsid w:val="006932F4"/>
    <w:rsid w:val="00693A52"/>
    <w:rsid w:val="00693E31"/>
    <w:rsid w:val="00694F02"/>
    <w:rsid w:val="00695604"/>
    <w:rsid w:val="00696285"/>
    <w:rsid w:val="00697BF0"/>
    <w:rsid w:val="006A0AFF"/>
    <w:rsid w:val="006A12AD"/>
    <w:rsid w:val="006A236D"/>
    <w:rsid w:val="006A28E5"/>
    <w:rsid w:val="006A3636"/>
    <w:rsid w:val="006A443D"/>
    <w:rsid w:val="006A49B6"/>
    <w:rsid w:val="006A4BC4"/>
    <w:rsid w:val="006A5ED0"/>
    <w:rsid w:val="006A62FC"/>
    <w:rsid w:val="006A633D"/>
    <w:rsid w:val="006A664F"/>
    <w:rsid w:val="006A6838"/>
    <w:rsid w:val="006A6996"/>
    <w:rsid w:val="006A6C06"/>
    <w:rsid w:val="006A6C31"/>
    <w:rsid w:val="006A6D2B"/>
    <w:rsid w:val="006A7076"/>
    <w:rsid w:val="006A71DE"/>
    <w:rsid w:val="006B007A"/>
    <w:rsid w:val="006B0547"/>
    <w:rsid w:val="006B178C"/>
    <w:rsid w:val="006B1CA7"/>
    <w:rsid w:val="006B2F6F"/>
    <w:rsid w:val="006B4EF4"/>
    <w:rsid w:val="006B5246"/>
    <w:rsid w:val="006B5ECC"/>
    <w:rsid w:val="006B6C64"/>
    <w:rsid w:val="006C0320"/>
    <w:rsid w:val="006C09F2"/>
    <w:rsid w:val="006C0E38"/>
    <w:rsid w:val="006C0EE6"/>
    <w:rsid w:val="006C366D"/>
    <w:rsid w:val="006C3691"/>
    <w:rsid w:val="006C3E60"/>
    <w:rsid w:val="006C42F1"/>
    <w:rsid w:val="006C4B1D"/>
    <w:rsid w:val="006C6323"/>
    <w:rsid w:val="006C6DD9"/>
    <w:rsid w:val="006C7211"/>
    <w:rsid w:val="006C73D1"/>
    <w:rsid w:val="006C759E"/>
    <w:rsid w:val="006C76A0"/>
    <w:rsid w:val="006C77FA"/>
    <w:rsid w:val="006D0082"/>
    <w:rsid w:val="006D059C"/>
    <w:rsid w:val="006D0D08"/>
    <w:rsid w:val="006D1504"/>
    <w:rsid w:val="006D1E5C"/>
    <w:rsid w:val="006D267C"/>
    <w:rsid w:val="006D3886"/>
    <w:rsid w:val="006D39AD"/>
    <w:rsid w:val="006D4147"/>
    <w:rsid w:val="006D4390"/>
    <w:rsid w:val="006D4A66"/>
    <w:rsid w:val="006D610E"/>
    <w:rsid w:val="006D630D"/>
    <w:rsid w:val="006D6B98"/>
    <w:rsid w:val="006D6FC7"/>
    <w:rsid w:val="006E0B67"/>
    <w:rsid w:val="006E0C1F"/>
    <w:rsid w:val="006E0CB0"/>
    <w:rsid w:val="006E0DB9"/>
    <w:rsid w:val="006E1619"/>
    <w:rsid w:val="006E1B35"/>
    <w:rsid w:val="006E1EAA"/>
    <w:rsid w:val="006E208E"/>
    <w:rsid w:val="006E21E4"/>
    <w:rsid w:val="006E3A1C"/>
    <w:rsid w:val="006E46B3"/>
    <w:rsid w:val="006E5739"/>
    <w:rsid w:val="006E59BA"/>
    <w:rsid w:val="006E652E"/>
    <w:rsid w:val="006F1278"/>
    <w:rsid w:val="006F18C0"/>
    <w:rsid w:val="006F1D76"/>
    <w:rsid w:val="006F2F37"/>
    <w:rsid w:val="006F32D6"/>
    <w:rsid w:val="006F344F"/>
    <w:rsid w:val="006F495F"/>
    <w:rsid w:val="006F4DAF"/>
    <w:rsid w:val="006F51F4"/>
    <w:rsid w:val="006F54D7"/>
    <w:rsid w:val="006F5DAA"/>
    <w:rsid w:val="006F6366"/>
    <w:rsid w:val="006F6858"/>
    <w:rsid w:val="006F6EDB"/>
    <w:rsid w:val="006F6F67"/>
    <w:rsid w:val="006F736D"/>
    <w:rsid w:val="006F7573"/>
    <w:rsid w:val="006F77CF"/>
    <w:rsid w:val="006F7ADA"/>
    <w:rsid w:val="007002FB"/>
    <w:rsid w:val="00700BE2"/>
    <w:rsid w:val="007016F8"/>
    <w:rsid w:val="00701779"/>
    <w:rsid w:val="00702276"/>
    <w:rsid w:val="00702820"/>
    <w:rsid w:val="0070283A"/>
    <w:rsid w:val="00703478"/>
    <w:rsid w:val="00703B63"/>
    <w:rsid w:val="00703CB7"/>
    <w:rsid w:val="00703F1B"/>
    <w:rsid w:val="007046D3"/>
    <w:rsid w:val="007051B9"/>
    <w:rsid w:val="00705FA1"/>
    <w:rsid w:val="007060C9"/>
    <w:rsid w:val="00706943"/>
    <w:rsid w:val="00707064"/>
    <w:rsid w:val="007074A7"/>
    <w:rsid w:val="00707B2F"/>
    <w:rsid w:val="00707D3A"/>
    <w:rsid w:val="00707DCA"/>
    <w:rsid w:val="0071066D"/>
    <w:rsid w:val="00712313"/>
    <w:rsid w:val="007125B7"/>
    <w:rsid w:val="00712AA2"/>
    <w:rsid w:val="00712F5A"/>
    <w:rsid w:val="007132D7"/>
    <w:rsid w:val="007136BA"/>
    <w:rsid w:val="00713E92"/>
    <w:rsid w:val="007156C4"/>
    <w:rsid w:val="00717273"/>
    <w:rsid w:val="007174EE"/>
    <w:rsid w:val="00717903"/>
    <w:rsid w:val="007205AA"/>
    <w:rsid w:val="00720AED"/>
    <w:rsid w:val="00720CE4"/>
    <w:rsid w:val="0072180D"/>
    <w:rsid w:val="00721BB2"/>
    <w:rsid w:val="00722797"/>
    <w:rsid w:val="007228FD"/>
    <w:rsid w:val="007231E0"/>
    <w:rsid w:val="007237E8"/>
    <w:rsid w:val="007252A1"/>
    <w:rsid w:val="00725BA3"/>
    <w:rsid w:val="00726AB8"/>
    <w:rsid w:val="00726B94"/>
    <w:rsid w:val="00726C19"/>
    <w:rsid w:val="00727451"/>
    <w:rsid w:val="00727724"/>
    <w:rsid w:val="007277FE"/>
    <w:rsid w:val="007304DD"/>
    <w:rsid w:val="007310F2"/>
    <w:rsid w:val="007316DF"/>
    <w:rsid w:val="00731D66"/>
    <w:rsid w:val="007320A6"/>
    <w:rsid w:val="00732E28"/>
    <w:rsid w:val="00733013"/>
    <w:rsid w:val="00733D85"/>
    <w:rsid w:val="007345FC"/>
    <w:rsid w:val="007356CC"/>
    <w:rsid w:val="007359D7"/>
    <w:rsid w:val="00735FC0"/>
    <w:rsid w:val="00736596"/>
    <w:rsid w:val="007378BA"/>
    <w:rsid w:val="00737D56"/>
    <w:rsid w:val="00740526"/>
    <w:rsid w:val="007412A7"/>
    <w:rsid w:val="00741799"/>
    <w:rsid w:val="007421BC"/>
    <w:rsid w:val="00742280"/>
    <w:rsid w:val="00742912"/>
    <w:rsid w:val="00742E20"/>
    <w:rsid w:val="00742E78"/>
    <w:rsid w:val="0074377F"/>
    <w:rsid w:val="00743A51"/>
    <w:rsid w:val="00743CEC"/>
    <w:rsid w:val="007442A3"/>
    <w:rsid w:val="00744523"/>
    <w:rsid w:val="007447AD"/>
    <w:rsid w:val="00744C97"/>
    <w:rsid w:val="007464A1"/>
    <w:rsid w:val="00746768"/>
    <w:rsid w:val="007467B8"/>
    <w:rsid w:val="007468E1"/>
    <w:rsid w:val="00746DAC"/>
    <w:rsid w:val="00747223"/>
    <w:rsid w:val="007474D4"/>
    <w:rsid w:val="00747585"/>
    <w:rsid w:val="007501B4"/>
    <w:rsid w:val="007503B9"/>
    <w:rsid w:val="007506E8"/>
    <w:rsid w:val="00751E79"/>
    <w:rsid w:val="007526E7"/>
    <w:rsid w:val="0075286F"/>
    <w:rsid w:val="00753700"/>
    <w:rsid w:val="007538D1"/>
    <w:rsid w:val="00753A02"/>
    <w:rsid w:val="00753A58"/>
    <w:rsid w:val="00753A59"/>
    <w:rsid w:val="0075402D"/>
    <w:rsid w:val="00754097"/>
    <w:rsid w:val="0075491C"/>
    <w:rsid w:val="00755512"/>
    <w:rsid w:val="00756213"/>
    <w:rsid w:val="00756740"/>
    <w:rsid w:val="00757537"/>
    <w:rsid w:val="0075754D"/>
    <w:rsid w:val="00757A0B"/>
    <w:rsid w:val="00760478"/>
    <w:rsid w:val="00760631"/>
    <w:rsid w:val="00760926"/>
    <w:rsid w:val="007617CE"/>
    <w:rsid w:val="00761AD4"/>
    <w:rsid w:val="007629E7"/>
    <w:rsid w:val="0076301D"/>
    <w:rsid w:val="007630DA"/>
    <w:rsid w:val="00763750"/>
    <w:rsid w:val="00764404"/>
    <w:rsid w:val="00764B31"/>
    <w:rsid w:val="00765231"/>
    <w:rsid w:val="007652AA"/>
    <w:rsid w:val="00765492"/>
    <w:rsid w:val="007659A7"/>
    <w:rsid w:val="007659FB"/>
    <w:rsid w:val="00766154"/>
    <w:rsid w:val="007661CF"/>
    <w:rsid w:val="00766B87"/>
    <w:rsid w:val="007678AB"/>
    <w:rsid w:val="007678C0"/>
    <w:rsid w:val="007700E9"/>
    <w:rsid w:val="007705E9"/>
    <w:rsid w:val="00770685"/>
    <w:rsid w:val="00771127"/>
    <w:rsid w:val="00771756"/>
    <w:rsid w:val="00772E31"/>
    <w:rsid w:val="00772EE9"/>
    <w:rsid w:val="00773448"/>
    <w:rsid w:val="00773B57"/>
    <w:rsid w:val="00773E86"/>
    <w:rsid w:val="00774029"/>
    <w:rsid w:val="00774723"/>
    <w:rsid w:val="00774B66"/>
    <w:rsid w:val="00775151"/>
    <w:rsid w:val="007751E2"/>
    <w:rsid w:val="007755FD"/>
    <w:rsid w:val="007764BF"/>
    <w:rsid w:val="007764C3"/>
    <w:rsid w:val="00776B0C"/>
    <w:rsid w:val="00776B4A"/>
    <w:rsid w:val="00776D40"/>
    <w:rsid w:val="007778F6"/>
    <w:rsid w:val="007779DB"/>
    <w:rsid w:val="007806CB"/>
    <w:rsid w:val="00780972"/>
    <w:rsid w:val="00780B3C"/>
    <w:rsid w:val="00780BD6"/>
    <w:rsid w:val="00781E7F"/>
    <w:rsid w:val="00782C77"/>
    <w:rsid w:val="00783003"/>
    <w:rsid w:val="007831B3"/>
    <w:rsid w:val="00783551"/>
    <w:rsid w:val="0078572C"/>
    <w:rsid w:val="00785739"/>
    <w:rsid w:val="00785C4A"/>
    <w:rsid w:val="00785E70"/>
    <w:rsid w:val="00785FB0"/>
    <w:rsid w:val="00786912"/>
    <w:rsid w:val="007922F8"/>
    <w:rsid w:val="00792CD6"/>
    <w:rsid w:val="007931BA"/>
    <w:rsid w:val="0079442D"/>
    <w:rsid w:val="00794441"/>
    <w:rsid w:val="00794B8E"/>
    <w:rsid w:val="0079538D"/>
    <w:rsid w:val="00795E88"/>
    <w:rsid w:val="00796155"/>
    <w:rsid w:val="00796522"/>
    <w:rsid w:val="007966C0"/>
    <w:rsid w:val="00796B2F"/>
    <w:rsid w:val="00797D98"/>
    <w:rsid w:val="007A1766"/>
    <w:rsid w:val="007A177D"/>
    <w:rsid w:val="007A3799"/>
    <w:rsid w:val="007A4999"/>
    <w:rsid w:val="007A4CD1"/>
    <w:rsid w:val="007A5098"/>
    <w:rsid w:val="007A50A5"/>
    <w:rsid w:val="007A5989"/>
    <w:rsid w:val="007A5FF1"/>
    <w:rsid w:val="007A6431"/>
    <w:rsid w:val="007A76A0"/>
    <w:rsid w:val="007B0A65"/>
    <w:rsid w:val="007B1315"/>
    <w:rsid w:val="007B1884"/>
    <w:rsid w:val="007B277F"/>
    <w:rsid w:val="007B2EB2"/>
    <w:rsid w:val="007B3697"/>
    <w:rsid w:val="007B446A"/>
    <w:rsid w:val="007B512A"/>
    <w:rsid w:val="007B54A9"/>
    <w:rsid w:val="007B5967"/>
    <w:rsid w:val="007B6720"/>
    <w:rsid w:val="007B744C"/>
    <w:rsid w:val="007B74F1"/>
    <w:rsid w:val="007B7929"/>
    <w:rsid w:val="007B7A7F"/>
    <w:rsid w:val="007C1493"/>
    <w:rsid w:val="007C1ABF"/>
    <w:rsid w:val="007C1D3A"/>
    <w:rsid w:val="007C2319"/>
    <w:rsid w:val="007C231C"/>
    <w:rsid w:val="007C2EA2"/>
    <w:rsid w:val="007C31E4"/>
    <w:rsid w:val="007C3343"/>
    <w:rsid w:val="007C334E"/>
    <w:rsid w:val="007C377C"/>
    <w:rsid w:val="007C3D26"/>
    <w:rsid w:val="007C4BED"/>
    <w:rsid w:val="007C4F48"/>
    <w:rsid w:val="007C50C2"/>
    <w:rsid w:val="007C540A"/>
    <w:rsid w:val="007C6B32"/>
    <w:rsid w:val="007C6B55"/>
    <w:rsid w:val="007C6D4E"/>
    <w:rsid w:val="007C7F36"/>
    <w:rsid w:val="007D10FB"/>
    <w:rsid w:val="007D180C"/>
    <w:rsid w:val="007D1F62"/>
    <w:rsid w:val="007D36F1"/>
    <w:rsid w:val="007D3E81"/>
    <w:rsid w:val="007D3EBB"/>
    <w:rsid w:val="007D4131"/>
    <w:rsid w:val="007D45F4"/>
    <w:rsid w:val="007D4827"/>
    <w:rsid w:val="007D54F5"/>
    <w:rsid w:val="007D5573"/>
    <w:rsid w:val="007D5CE9"/>
    <w:rsid w:val="007D5F43"/>
    <w:rsid w:val="007D61D3"/>
    <w:rsid w:val="007D63C0"/>
    <w:rsid w:val="007D6731"/>
    <w:rsid w:val="007D6A41"/>
    <w:rsid w:val="007D6BB2"/>
    <w:rsid w:val="007D7072"/>
    <w:rsid w:val="007D7196"/>
    <w:rsid w:val="007E06D6"/>
    <w:rsid w:val="007E0BEC"/>
    <w:rsid w:val="007E240A"/>
    <w:rsid w:val="007E2488"/>
    <w:rsid w:val="007E2BF5"/>
    <w:rsid w:val="007E2C34"/>
    <w:rsid w:val="007E3B50"/>
    <w:rsid w:val="007E3B8F"/>
    <w:rsid w:val="007E3C22"/>
    <w:rsid w:val="007E4384"/>
    <w:rsid w:val="007E4967"/>
    <w:rsid w:val="007E55AF"/>
    <w:rsid w:val="007E576C"/>
    <w:rsid w:val="007E6913"/>
    <w:rsid w:val="007E6A58"/>
    <w:rsid w:val="007E73EB"/>
    <w:rsid w:val="007E7FB5"/>
    <w:rsid w:val="007E7FB6"/>
    <w:rsid w:val="007F0291"/>
    <w:rsid w:val="007F0374"/>
    <w:rsid w:val="007F03C3"/>
    <w:rsid w:val="007F0E6B"/>
    <w:rsid w:val="007F11E8"/>
    <w:rsid w:val="007F12FC"/>
    <w:rsid w:val="007F1803"/>
    <w:rsid w:val="007F2759"/>
    <w:rsid w:val="007F3E58"/>
    <w:rsid w:val="007F4E74"/>
    <w:rsid w:val="007F5AED"/>
    <w:rsid w:val="007F749D"/>
    <w:rsid w:val="007F750E"/>
    <w:rsid w:val="007F7A8D"/>
    <w:rsid w:val="007F7ACC"/>
    <w:rsid w:val="008000DA"/>
    <w:rsid w:val="008011E1"/>
    <w:rsid w:val="00801B02"/>
    <w:rsid w:val="00802D38"/>
    <w:rsid w:val="0080359A"/>
    <w:rsid w:val="00804A7D"/>
    <w:rsid w:val="00805284"/>
    <w:rsid w:val="00805FEB"/>
    <w:rsid w:val="008063D3"/>
    <w:rsid w:val="0080651D"/>
    <w:rsid w:val="0080787F"/>
    <w:rsid w:val="0080788A"/>
    <w:rsid w:val="00807E69"/>
    <w:rsid w:val="00810330"/>
    <w:rsid w:val="008110B1"/>
    <w:rsid w:val="008112BB"/>
    <w:rsid w:val="008114E4"/>
    <w:rsid w:val="008118D5"/>
    <w:rsid w:val="00811EB2"/>
    <w:rsid w:val="0081227A"/>
    <w:rsid w:val="008124EA"/>
    <w:rsid w:val="0081343D"/>
    <w:rsid w:val="008137E0"/>
    <w:rsid w:val="00813ABE"/>
    <w:rsid w:val="00814156"/>
    <w:rsid w:val="00815A4A"/>
    <w:rsid w:val="00815DA4"/>
    <w:rsid w:val="0081611D"/>
    <w:rsid w:val="00817AAE"/>
    <w:rsid w:val="00817DEE"/>
    <w:rsid w:val="00820620"/>
    <w:rsid w:val="00820A24"/>
    <w:rsid w:val="00820D6C"/>
    <w:rsid w:val="0082192C"/>
    <w:rsid w:val="00822EA9"/>
    <w:rsid w:val="00822F59"/>
    <w:rsid w:val="0082326C"/>
    <w:rsid w:val="008236A1"/>
    <w:rsid w:val="00824FED"/>
    <w:rsid w:val="00825ADF"/>
    <w:rsid w:val="00825B44"/>
    <w:rsid w:val="00826353"/>
    <w:rsid w:val="0082669D"/>
    <w:rsid w:val="00826975"/>
    <w:rsid w:val="00826D6C"/>
    <w:rsid w:val="00827178"/>
    <w:rsid w:val="00827727"/>
    <w:rsid w:val="00827BE8"/>
    <w:rsid w:val="00827CB7"/>
    <w:rsid w:val="008304B0"/>
    <w:rsid w:val="0083056C"/>
    <w:rsid w:val="008316E1"/>
    <w:rsid w:val="00831A4B"/>
    <w:rsid w:val="0083245A"/>
    <w:rsid w:val="00832609"/>
    <w:rsid w:val="008328B9"/>
    <w:rsid w:val="00832EE8"/>
    <w:rsid w:val="00833076"/>
    <w:rsid w:val="00833999"/>
    <w:rsid w:val="00833D6F"/>
    <w:rsid w:val="008341DD"/>
    <w:rsid w:val="00834F8C"/>
    <w:rsid w:val="00835204"/>
    <w:rsid w:val="0083568C"/>
    <w:rsid w:val="00835B3D"/>
    <w:rsid w:val="00835BB9"/>
    <w:rsid w:val="0083606D"/>
    <w:rsid w:val="008362F1"/>
    <w:rsid w:val="00836974"/>
    <w:rsid w:val="00837EEB"/>
    <w:rsid w:val="008421D3"/>
    <w:rsid w:val="00842F5B"/>
    <w:rsid w:val="00843B67"/>
    <w:rsid w:val="0084422A"/>
    <w:rsid w:val="008444CB"/>
    <w:rsid w:val="00845823"/>
    <w:rsid w:val="00845AC8"/>
    <w:rsid w:val="00845AD9"/>
    <w:rsid w:val="00845CA3"/>
    <w:rsid w:val="008464C3"/>
    <w:rsid w:val="00847222"/>
    <w:rsid w:val="00847343"/>
    <w:rsid w:val="008479D4"/>
    <w:rsid w:val="00850246"/>
    <w:rsid w:val="008508CE"/>
    <w:rsid w:val="00850DCF"/>
    <w:rsid w:val="008525BE"/>
    <w:rsid w:val="008536A7"/>
    <w:rsid w:val="008537FC"/>
    <w:rsid w:val="00855B68"/>
    <w:rsid w:val="00855DA2"/>
    <w:rsid w:val="0085631C"/>
    <w:rsid w:val="0085641C"/>
    <w:rsid w:val="00856A66"/>
    <w:rsid w:val="0085784E"/>
    <w:rsid w:val="00861FB3"/>
    <w:rsid w:val="00862C51"/>
    <w:rsid w:val="00863341"/>
    <w:rsid w:val="00863361"/>
    <w:rsid w:val="008633E0"/>
    <w:rsid w:val="008635B1"/>
    <w:rsid w:val="00865D05"/>
    <w:rsid w:val="00866B47"/>
    <w:rsid w:val="0086790E"/>
    <w:rsid w:val="00867BC7"/>
    <w:rsid w:val="00867BF4"/>
    <w:rsid w:val="00872C69"/>
    <w:rsid w:val="00873AA0"/>
    <w:rsid w:val="00873C5F"/>
    <w:rsid w:val="00873C9D"/>
    <w:rsid w:val="00874682"/>
    <w:rsid w:val="00874C63"/>
    <w:rsid w:val="00874E26"/>
    <w:rsid w:val="00875874"/>
    <w:rsid w:val="00875A2E"/>
    <w:rsid w:val="00876298"/>
    <w:rsid w:val="008767C5"/>
    <w:rsid w:val="00877D69"/>
    <w:rsid w:val="008809A6"/>
    <w:rsid w:val="008810C6"/>
    <w:rsid w:val="0088193D"/>
    <w:rsid w:val="00881BC8"/>
    <w:rsid w:val="008825F1"/>
    <w:rsid w:val="008838A3"/>
    <w:rsid w:val="00883B5D"/>
    <w:rsid w:val="00884766"/>
    <w:rsid w:val="00884A4D"/>
    <w:rsid w:val="00884DB8"/>
    <w:rsid w:val="00884E52"/>
    <w:rsid w:val="008851E6"/>
    <w:rsid w:val="0088569A"/>
    <w:rsid w:val="00885747"/>
    <w:rsid w:val="00885FB6"/>
    <w:rsid w:val="008860B9"/>
    <w:rsid w:val="008876BA"/>
    <w:rsid w:val="00890994"/>
    <w:rsid w:val="00890C7C"/>
    <w:rsid w:val="00890F8C"/>
    <w:rsid w:val="008922C2"/>
    <w:rsid w:val="00892701"/>
    <w:rsid w:val="00893037"/>
    <w:rsid w:val="008945FF"/>
    <w:rsid w:val="008946B7"/>
    <w:rsid w:val="00894B14"/>
    <w:rsid w:val="00894BA6"/>
    <w:rsid w:val="008951AE"/>
    <w:rsid w:val="00895515"/>
    <w:rsid w:val="00897872"/>
    <w:rsid w:val="00897BBC"/>
    <w:rsid w:val="008A0341"/>
    <w:rsid w:val="008A0411"/>
    <w:rsid w:val="008A04C1"/>
    <w:rsid w:val="008A04FF"/>
    <w:rsid w:val="008A07B6"/>
    <w:rsid w:val="008A11EE"/>
    <w:rsid w:val="008A120A"/>
    <w:rsid w:val="008A1ECC"/>
    <w:rsid w:val="008A23F1"/>
    <w:rsid w:val="008A241C"/>
    <w:rsid w:val="008A2D32"/>
    <w:rsid w:val="008A318C"/>
    <w:rsid w:val="008A382B"/>
    <w:rsid w:val="008A3A5A"/>
    <w:rsid w:val="008A4B74"/>
    <w:rsid w:val="008A4D49"/>
    <w:rsid w:val="008A5340"/>
    <w:rsid w:val="008A58C6"/>
    <w:rsid w:val="008A60C1"/>
    <w:rsid w:val="008A6681"/>
    <w:rsid w:val="008A6A6E"/>
    <w:rsid w:val="008A6E23"/>
    <w:rsid w:val="008A701C"/>
    <w:rsid w:val="008A7C51"/>
    <w:rsid w:val="008B03C4"/>
    <w:rsid w:val="008B05E6"/>
    <w:rsid w:val="008B1A4E"/>
    <w:rsid w:val="008B1C68"/>
    <w:rsid w:val="008B2872"/>
    <w:rsid w:val="008B291E"/>
    <w:rsid w:val="008B458A"/>
    <w:rsid w:val="008B4D9E"/>
    <w:rsid w:val="008B5030"/>
    <w:rsid w:val="008B640B"/>
    <w:rsid w:val="008B6F68"/>
    <w:rsid w:val="008B751B"/>
    <w:rsid w:val="008B7D58"/>
    <w:rsid w:val="008C01A1"/>
    <w:rsid w:val="008C07A7"/>
    <w:rsid w:val="008C0CFF"/>
    <w:rsid w:val="008C0F9E"/>
    <w:rsid w:val="008C1E98"/>
    <w:rsid w:val="008C2871"/>
    <w:rsid w:val="008C320D"/>
    <w:rsid w:val="008C36A4"/>
    <w:rsid w:val="008C3DB2"/>
    <w:rsid w:val="008C3DE5"/>
    <w:rsid w:val="008C427E"/>
    <w:rsid w:val="008C53F3"/>
    <w:rsid w:val="008C7514"/>
    <w:rsid w:val="008C7645"/>
    <w:rsid w:val="008C7D0D"/>
    <w:rsid w:val="008D0901"/>
    <w:rsid w:val="008D1335"/>
    <w:rsid w:val="008D19AE"/>
    <w:rsid w:val="008D1CC6"/>
    <w:rsid w:val="008D1FA9"/>
    <w:rsid w:val="008D2C81"/>
    <w:rsid w:val="008D3158"/>
    <w:rsid w:val="008D5487"/>
    <w:rsid w:val="008D54BC"/>
    <w:rsid w:val="008D54D3"/>
    <w:rsid w:val="008D56DD"/>
    <w:rsid w:val="008D5AF8"/>
    <w:rsid w:val="008D5FF6"/>
    <w:rsid w:val="008D62F9"/>
    <w:rsid w:val="008D665E"/>
    <w:rsid w:val="008D6B8C"/>
    <w:rsid w:val="008E0442"/>
    <w:rsid w:val="008E0711"/>
    <w:rsid w:val="008E0875"/>
    <w:rsid w:val="008E120E"/>
    <w:rsid w:val="008E24EB"/>
    <w:rsid w:val="008E2B3A"/>
    <w:rsid w:val="008E317F"/>
    <w:rsid w:val="008E447A"/>
    <w:rsid w:val="008E48DB"/>
    <w:rsid w:val="008E5CF9"/>
    <w:rsid w:val="008E5E04"/>
    <w:rsid w:val="008E726F"/>
    <w:rsid w:val="008E79CD"/>
    <w:rsid w:val="008E7DBA"/>
    <w:rsid w:val="008F160F"/>
    <w:rsid w:val="008F174B"/>
    <w:rsid w:val="008F1DD5"/>
    <w:rsid w:val="008F2B18"/>
    <w:rsid w:val="008F2DFB"/>
    <w:rsid w:val="008F2E09"/>
    <w:rsid w:val="008F2E96"/>
    <w:rsid w:val="008F316F"/>
    <w:rsid w:val="008F3493"/>
    <w:rsid w:val="008F3C0D"/>
    <w:rsid w:val="008F40BE"/>
    <w:rsid w:val="008F4441"/>
    <w:rsid w:val="008F499B"/>
    <w:rsid w:val="008F5B85"/>
    <w:rsid w:val="008F6474"/>
    <w:rsid w:val="008F6B9A"/>
    <w:rsid w:val="008F77B1"/>
    <w:rsid w:val="008F797E"/>
    <w:rsid w:val="008F7CD0"/>
    <w:rsid w:val="00900CC7"/>
    <w:rsid w:val="00900ECE"/>
    <w:rsid w:val="00901F7E"/>
    <w:rsid w:val="009029D6"/>
    <w:rsid w:val="009031F0"/>
    <w:rsid w:val="009035B4"/>
    <w:rsid w:val="009035C5"/>
    <w:rsid w:val="00904646"/>
    <w:rsid w:val="00904758"/>
    <w:rsid w:val="009051C8"/>
    <w:rsid w:val="00905409"/>
    <w:rsid w:val="0090544D"/>
    <w:rsid w:val="00905879"/>
    <w:rsid w:val="00905B1B"/>
    <w:rsid w:val="00905B4F"/>
    <w:rsid w:val="009063BA"/>
    <w:rsid w:val="00906C1C"/>
    <w:rsid w:val="00906D3A"/>
    <w:rsid w:val="0090710A"/>
    <w:rsid w:val="00910004"/>
    <w:rsid w:val="0091042B"/>
    <w:rsid w:val="00911278"/>
    <w:rsid w:val="00911633"/>
    <w:rsid w:val="009118A8"/>
    <w:rsid w:val="00911B2D"/>
    <w:rsid w:val="00911C8F"/>
    <w:rsid w:val="00912A64"/>
    <w:rsid w:val="00913369"/>
    <w:rsid w:val="00916611"/>
    <w:rsid w:val="009173E2"/>
    <w:rsid w:val="009176E8"/>
    <w:rsid w:val="0091792E"/>
    <w:rsid w:val="00917A0B"/>
    <w:rsid w:val="00917AE8"/>
    <w:rsid w:val="0092050B"/>
    <w:rsid w:val="00920974"/>
    <w:rsid w:val="00921466"/>
    <w:rsid w:val="009222D0"/>
    <w:rsid w:val="0092288C"/>
    <w:rsid w:val="00922D7C"/>
    <w:rsid w:val="009239BB"/>
    <w:rsid w:val="0092516E"/>
    <w:rsid w:val="00925434"/>
    <w:rsid w:val="00925944"/>
    <w:rsid w:val="00926114"/>
    <w:rsid w:val="00926593"/>
    <w:rsid w:val="00927857"/>
    <w:rsid w:val="00927B23"/>
    <w:rsid w:val="00927D7B"/>
    <w:rsid w:val="00930499"/>
    <w:rsid w:val="00930713"/>
    <w:rsid w:val="009318DA"/>
    <w:rsid w:val="00931E63"/>
    <w:rsid w:val="00932114"/>
    <w:rsid w:val="00932AE1"/>
    <w:rsid w:val="00933C3B"/>
    <w:rsid w:val="00933D96"/>
    <w:rsid w:val="009345CA"/>
    <w:rsid w:val="00934889"/>
    <w:rsid w:val="00935166"/>
    <w:rsid w:val="00935487"/>
    <w:rsid w:val="0093654F"/>
    <w:rsid w:val="0093676D"/>
    <w:rsid w:val="0093757B"/>
    <w:rsid w:val="00937F89"/>
    <w:rsid w:val="0094074A"/>
    <w:rsid w:val="00941494"/>
    <w:rsid w:val="00941673"/>
    <w:rsid w:val="009421CA"/>
    <w:rsid w:val="00942DAE"/>
    <w:rsid w:val="00942E79"/>
    <w:rsid w:val="009433E5"/>
    <w:rsid w:val="00943AAA"/>
    <w:rsid w:val="00944157"/>
    <w:rsid w:val="0094698F"/>
    <w:rsid w:val="00946A28"/>
    <w:rsid w:val="009473F8"/>
    <w:rsid w:val="009479D5"/>
    <w:rsid w:val="009502BF"/>
    <w:rsid w:val="0095072C"/>
    <w:rsid w:val="00950BB4"/>
    <w:rsid w:val="00951388"/>
    <w:rsid w:val="009519B3"/>
    <w:rsid w:val="00951CDA"/>
    <w:rsid w:val="00952DFC"/>
    <w:rsid w:val="009532B9"/>
    <w:rsid w:val="00954A16"/>
    <w:rsid w:val="00954D93"/>
    <w:rsid w:val="00955911"/>
    <w:rsid w:val="00955C83"/>
    <w:rsid w:val="00955EC7"/>
    <w:rsid w:val="009568A6"/>
    <w:rsid w:val="00956AE2"/>
    <w:rsid w:val="00956F3A"/>
    <w:rsid w:val="009573F8"/>
    <w:rsid w:val="0096022B"/>
    <w:rsid w:val="009608F5"/>
    <w:rsid w:val="009612A1"/>
    <w:rsid w:val="00961D01"/>
    <w:rsid w:val="00962994"/>
    <w:rsid w:val="00964DEA"/>
    <w:rsid w:val="00966E9C"/>
    <w:rsid w:val="00967109"/>
    <w:rsid w:val="00967BBC"/>
    <w:rsid w:val="009713A8"/>
    <w:rsid w:val="00971AC5"/>
    <w:rsid w:val="009730B0"/>
    <w:rsid w:val="00973215"/>
    <w:rsid w:val="00974045"/>
    <w:rsid w:val="0097454C"/>
    <w:rsid w:val="00974677"/>
    <w:rsid w:val="00974794"/>
    <w:rsid w:val="009749F3"/>
    <w:rsid w:val="00974FA3"/>
    <w:rsid w:val="00975386"/>
    <w:rsid w:val="0097574C"/>
    <w:rsid w:val="00975A8A"/>
    <w:rsid w:val="00975E6F"/>
    <w:rsid w:val="00980067"/>
    <w:rsid w:val="00980322"/>
    <w:rsid w:val="00980E5F"/>
    <w:rsid w:val="00981087"/>
    <w:rsid w:val="00981B7A"/>
    <w:rsid w:val="00981D55"/>
    <w:rsid w:val="00982B90"/>
    <w:rsid w:val="0098348A"/>
    <w:rsid w:val="009834D2"/>
    <w:rsid w:val="00983665"/>
    <w:rsid w:val="009857B8"/>
    <w:rsid w:val="00986C26"/>
    <w:rsid w:val="009876BF"/>
    <w:rsid w:val="00987F4F"/>
    <w:rsid w:val="00990524"/>
    <w:rsid w:val="00990A84"/>
    <w:rsid w:val="00991380"/>
    <w:rsid w:val="00992823"/>
    <w:rsid w:val="00992F7D"/>
    <w:rsid w:val="009930E6"/>
    <w:rsid w:val="00993152"/>
    <w:rsid w:val="009935B7"/>
    <w:rsid w:val="00993BCA"/>
    <w:rsid w:val="00994662"/>
    <w:rsid w:val="00994D78"/>
    <w:rsid w:val="0099570D"/>
    <w:rsid w:val="00996317"/>
    <w:rsid w:val="00997584"/>
    <w:rsid w:val="009976CB"/>
    <w:rsid w:val="00997F4A"/>
    <w:rsid w:val="00997F87"/>
    <w:rsid w:val="009A1557"/>
    <w:rsid w:val="009A184B"/>
    <w:rsid w:val="009A1CFA"/>
    <w:rsid w:val="009A1DD8"/>
    <w:rsid w:val="009A265A"/>
    <w:rsid w:val="009A2A15"/>
    <w:rsid w:val="009A4E94"/>
    <w:rsid w:val="009A5309"/>
    <w:rsid w:val="009A534A"/>
    <w:rsid w:val="009A568B"/>
    <w:rsid w:val="009A59D2"/>
    <w:rsid w:val="009A5C52"/>
    <w:rsid w:val="009A5CEE"/>
    <w:rsid w:val="009A676C"/>
    <w:rsid w:val="009A722D"/>
    <w:rsid w:val="009A7356"/>
    <w:rsid w:val="009B0538"/>
    <w:rsid w:val="009B2BFE"/>
    <w:rsid w:val="009B3031"/>
    <w:rsid w:val="009B3419"/>
    <w:rsid w:val="009B350B"/>
    <w:rsid w:val="009B35EE"/>
    <w:rsid w:val="009B3D69"/>
    <w:rsid w:val="009B5128"/>
    <w:rsid w:val="009B5DB6"/>
    <w:rsid w:val="009B66F4"/>
    <w:rsid w:val="009B6743"/>
    <w:rsid w:val="009B6FA1"/>
    <w:rsid w:val="009C0CAA"/>
    <w:rsid w:val="009C30B2"/>
    <w:rsid w:val="009C3424"/>
    <w:rsid w:val="009C387A"/>
    <w:rsid w:val="009C3C1E"/>
    <w:rsid w:val="009C3F6D"/>
    <w:rsid w:val="009C40FC"/>
    <w:rsid w:val="009C4FD9"/>
    <w:rsid w:val="009C4FF8"/>
    <w:rsid w:val="009C5FA0"/>
    <w:rsid w:val="009C7468"/>
    <w:rsid w:val="009C7F07"/>
    <w:rsid w:val="009D0574"/>
    <w:rsid w:val="009D0AB2"/>
    <w:rsid w:val="009D119A"/>
    <w:rsid w:val="009D145C"/>
    <w:rsid w:val="009D2151"/>
    <w:rsid w:val="009D3199"/>
    <w:rsid w:val="009D324F"/>
    <w:rsid w:val="009D4386"/>
    <w:rsid w:val="009D4A6C"/>
    <w:rsid w:val="009D63F9"/>
    <w:rsid w:val="009D69DE"/>
    <w:rsid w:val="009D7518"/>
    <w:rsid w:val="009D7893"/>
    <w:rsid w:val="009E03EA"/>
    <w:rsid w:val="009E073C"/>
    <w:rsid w:val="009E0D45"/>
    <w:rsid w:val="009E0E3E"/>
    <w:rsid w:val="009E1462"/>
    <w:rsid w:val="009E15D3"/>
    <w:rsid w:val="009E1821"/>
    <w:rsid w:val="009E199D"/>
    <w:rsid w:val="009E1F58"/>
    <w:rsid w:val="009E2A13"/>
    <w:rsid w:val="009E34CC"/>
    <w:rsid w:val="009E3722"/>
    <w:rsid w:val="009E40F2"/>
    <w:rsid w:val="009E4605"/>
    <w:rsid w:val="009E4DD9"/>
    <w:rsid w:val="009E5122"/>
    <w:rsid w:val="009E5207"/>
    <w:rsid w:val="009E5CE1"/>
    <w:rsid w:val="009E6BC6"/>
    <w:rsid w:val="009E6DC2"/>
    <w:rsid w:val="009E6F92"/>
    <w:rsid w:val="009E7377"/>
    <w:rsid w:val="009E7905"/>
    <w:rsid w:val="009E79AF"/>
    <w:rsid w:val="009F0B10"/>
    <w:rsid w:val="009F17AC"/>
    <w:rsid w:val="009F2CA9"/>
    <w:rsid w:val="009F309E"/>
    <w:rsid w:val="009F3189"/>
    <w:rsid w:val="009F37DA"/>
    <w:rsid w:val="009F3820"/>
    <w:rsid w:val="009F4128"/>
    <w:rsid w:val="009F4562"/>
    <w:rsid w:val="009F458D"/>
    <w:rsid w:val="009F53BD"/>
    <w:rsid w:val="009F5C3D"/>
    <w:rsid w:val="009F63E4"/>
    <w:rsid w:val="009F6450"/>
    <w:rsid w:val="009F6F66"/>
    <w:rsid w:val="009F73C9"/>
    <w:rsid w:val="009F7484"/>
    <w:rsid w:val="009F79CD"/>
    <w:rsid w:val="009F7B1B"/>
    <w:rsid w:val="00A007DD"/>
    <w:rsid w:val="00A01EA7"/>
    <w:rsid w:val="00A03050"/>
    <w:rsid w:val="00A03496"/>
    <w:rsid w:val="00A055A8"/>
    <w:rsid w:val="00A0611C"/>
    <w:rsid w:val="00A061EC"/>
    <w:rsid w:val="00A0622B"/>
    <w:rsid w:val="00A06BFC"/>
    <w:rsid w:val="00A07ACA"/>
    <w:rsid w:val="00A104B8"/>
    <w:rsid w:val="00A10593"/>
    <w:rsid w:val="00A10693"/>
    <w:rsid w:val="00A10749"/>
    <w:rsid w:val="00A11DA6"/>
    <w:rsid w:val="00A11E5F"/>
    <w:rsid w:val="00A1213D"/>
    <w:rsid w:val="00A128D2"/>
    <w:rsid w:val="00A131D0"/>
    <w:rsid w:val="00A142CE"/>
    <w:rsid w:val="00A16333"/>
    <w:rsid w:val="00A16372"/>
    <w:rsid w:val="00A16A4C"/>
    <w:rsid w:val="00A16AD2"/>
    <w:rsid w:val="00A17A65"/>
    <w:rsid w:val="00A206BC"/>
    <w:rsid w:val="00A21906"/>
    <w:rsid w:val="00A21B43"/>
    <w:rsid w:val="00A21FB9"/>
    <w:rsid w:val="00A22E52"/>
    <w:rsid w:val="00A23564"/>
    <w:rsid w:val="00A23CBC"/>
    <w:rsid w:val="00A243EE"/>
    <w:rsid w:val="00A24D94"/>
    <w:rsid w:val="00A2574A"/>
    <w:rsid w:val="00A2699F"/>
    <w:rsid w:val="00A26A1E"/>
    <w:rsid w:val="00A26DE2"/>
    <w:rsid w:val="00A26FBD"/>
    <w:rsid w:val="00A273CE"/>
    <w:rsid w:val="00A2785C"/>
    <w:rsid w:val="00A27C8A"/>
    <w:rsid w:val="00A30024"/>
    <w:rsid w:val="00A30656"/>
    <w:rsid w:val="00A3088A"/>
    <w:rsid w:val="00A30D47"/>
    <w:rsid w:val="00A3180A"/>
    <w:rsid w:val="00A31AC6"/>
    <w:rsid w:val="00A3248C"/>
    <w:rsid w:val="00A32765"/>
    <w:rsid w:val="00A33D68"/>
    <w:rsid w:val="00A33EA8"/>
    <w:rsid w:val="00A34915"/>
    <w:rsid w:val="00A36038"/>
    <w:rsid w:val="00A36485"/>
    <w:rsid w:val="00A36EF0"/>
    <w:rsid w:val="00A37368"/>
    <w:rsid w:val="00A376FA"/>
    <w:rsid w:val="00A402CF"/>
    <w:rsid w:val="00A4040D"/>
    <w:rsid w:val="00A4086B"/>
    <w:rsid w:val="00A40FC0"/>
    <w:rsid w:val="00A413AC"/>
    <w:rsid w:val="00A418EA"/>
    <w:rsid w:val="00A41ECB"/>
    <w:rsid w:val="00A42806"/>
    <w:rsid w:val="00A4419F"/>
    <w:rsid w:val="00A4422C"/>
    <w:rsid w:val="00A44325"/>
    <w:rsid w:val="00A44685"/>
    <w:rsid w:val="00A44F6C"/>
    <w:rsid w:val="00A45996"/>
    <w:rsid w:val="00A4634B"/>
    <w:rsid w:val="00A46784"/>
    <w:rsid w:val="00A47024"/>
    <w:rsid w:val="00A47E0F"/>
    <w:rsid w:val="00A47E70"/>
    <w:rsid w:val="00A5036B"/>
    <w:rsid w:val="00A506DF"/>
    <w:rsid w:val="00A507A1"/>
    <w:rsid w:val="00A5107F"/>
    <w:rsid w:val="00A5258E"/>
    <w:rsid w:val="00A5379C"/>
    <w:rsid w:val="00A53D57"/>
    <w:rsid w:val="00A548D9"/>
    <w:rsid w:val="00A54CEC"/>
    <w:rsid w:val="00A55128"/>
    <w:rsid w:val="00A557D1"/>
    <w:rsid w:val="00A55835"/>
    <w:rsid w:val="00A56891"/>
    <w:rsid w:val="00A56CF3"/>
    <w:rsid w:val="00A570EF"/>
    <w:rsid w:val="00A57691"/>
    <w:rsid w:val="00A57D77"/>
    <w:rsid w:val="00A57F88"/>
    <w:rsid w:val="00A60117"/>
    <w:rsid w:val="00A618CB"/>
    <w:rsid w:val="00A619E9"/>
    <w:rsid w:val="00A61D78"/>
    <w:rsid w:val="00A62B37"/>
    <w:rsid w:val="00A632EB"/>
    <w:rsid w:val="00A638C7"/>
    <w:rsid w:val="00A63C72"/>
    <w:rsid w:val="00A64536"/>
    <w:rsid w:val="00A64F6B"/>
    <w:rsid w:val="00A665BD"/>
    <w:rsid w:val="00A6708D"/>
    <w:rsid w:val="00A671CE"/>
    <w:rsid w:val="00A677DD"/>
    <w:rsid w:val="00A70DEA"/>
    <w:rsid w:val="00A71FE2"/>
    <w:rsid w:val="00A7250A"/>
    <w:rsid w:val="00A725DB"/>
    <w:rsid w:val="00A72DE1"/>
    <w:rsid w:val="00A730E8"/>
    <w:rsid w:val="00A73BFE"/>
    <w:rsid w:val="00A73D85"/>
    <w:rsid w:val="00A740DE"/>
    <w:rsid w:val="00A742DB"/>
    <w:rsid w:val="00A74708"/>
    <w:rsid w:val="00A7529D"/>
    <w:rsid w:val="00A755B9"/>
    <w:rsid w:val="00A7613D"/>
    <w:rsid w:val="00A766B8"/>
    <w:rsid w:val="00A76980"/>
    <w:rsid w:val="00A775FF"/>
    <w:rsid w:val="00A77934"/>
    <w:rsid w:val="00A77F3E"/>
    <w:rsid w:val="00A811ED"/>
    <w:rsid w:val="00A8138A"/>
    <w:rsid w:val="00A81C95"/>
    <w:rsid w:val="00A8205B"/>
    <w:rsid w:val="00A8255B"/>
    <w:rsid w:val="00A82733"/>
    <w:rsid w:val="00A83254"/>
    <w:rsid w:val="00A832A1"/>
    <w:rsid w:val="00A83501"/>
    <w:rsid w:val="00A83E7D"/>
    <w:rsid w:val="00A83ED4"/>
    <w:rsid w:val="00A84268"/>
    <w:rsid w:val="00A85022"/>
    <w:rsid w:val="00A859E9"/>
    <w:rsid w:val="00A860FC"/>
    <w:rsid w:val="00A861BA"/>
    <w:rsid w:val="00A863EE"/>
    <w:rsid w:val="00A865F9"/>
    <w:rsid w:val="00A866BA"/>
    <w:rsid w:val="00A86F71"/>
    <w:rsid w:val="00A879FD"/>
    <w:rsid w:val="00A87D02"/>
    <w:rsid w:val="00A87F4C"/>
    <w:rsid w:val="00A90A8B"/>
    <w:rsid w:val="00A91D8E"/>
    <w:rsid w:val="00A9255E"/>
    <w:rsid w:val="00A928E5"/>
    <w:rsid w:val="00A92B66"/>
    <w:rsid w:val="00A92EE5"/>
    <w:rsid w:val="00A934D0"/>
    <w:rsid w:val="00A93E01"/>
    <w:rsid w:val="00A94392"/>
    <w:rsid w:val="00A95754"/>
    <w:rsid w:val="00A9721B"/>
    <w:rsid w:val="00AA37D5"/>
    <w:rsid w:val="00AA3A7F"/>
    <w:rsid w:val="00AA3EAF"/>
    <w:rsid w:val="00AA3F6B"/>
    <w:rsid w:val="00AA4226"/>
    <w:rsid w:val="00AA423F"/>
    <w:rsid w:val="00AA4C5E"/>
    <w:rsid w:val="00AA73AD"/>
    <w:rsid w:val="00AA73DA"/>
    <w:rsid w:val="00AA74AD"/>
    <w:rsid w:val="00AA7DFA"/>
    <w:rsid w:val="00AB057B"/>
    <w:rsid w:val="00AB0970"/>
    <w:rsid w:val="00AB0BFF"/>
    <w:rsid w:val="00AB1982"/>
    <w:rsid w:val="00AB1DCA"/>
    <w:rsid w:val="00AB2179"/>
    <w:rsid w:val="00AB3629"/>
    <w:rsid w:val="00AB37CE"/>
    <w:rsid w:val="00AB3A93"/>
    <w:rsid w:val="00AB4399"/>
    <w:rsid w:val="00AB4891"/>
    <w:rsid w:val="00AB502E"/>
    <w:rsid w:val="00AB5650"/>
    <w:rsid w:val="00AB67CB"/>
    <w:rsid w:val="00AB7877"/>
    <w:rsid w:val="00AB7AB5"/>
    <w:rsid w:val="00AB7E14"/>
    <w:rsid w:val="00AC02AC"/>
    <w:rsid w:val="00AC2B26"/>
    <w:rsid w:val="00AC2D09"/>
    <w:rsid w:val="00AC32AC"/>
    <w:rsid w:val="00AC338C"/>
    <w:rsid w:val="00AC3ED1"/>
    <w:rsid w:val="00AC4067"/>
    <w:rsid w:val="00AC459C"/>
    <w:rsid w:val="00AC6137"/>
    <w:rsid w:val="00AC6156"/>
    <w:rsid w:val="00AC6556"/>
    <w:rsid w:val="00AC70BC"/>
    <w:rsid w:val="00AC728C"/>
    <w:rsid w:val="00AD0483"/>
    <w:rsid w:val="00AD0624"/>
    <w:rsid w:val="00AD0860"/>
    <w:rsid w:val="00AD1395"/>
    <w:rsid w:val="00AD1841"/>
    <w:rsid w:val="00AD3B6A"/>
    <w:rsid w:val="00AD400C"/>
    <w:rsid w:val="00AD482F"/>
    <w:rsid w:val="00AD530D"/>
    <w:rsid w:val="00AD5DB9"/>
    <w:rsid w:val="00AD60C9"/>
    <w:rsid w:val="00AD6171"/>
    <w:rsid w:val="00AD66C8"/>
    <w:rsid w:val="00AD716F"/>
    <w:rsid w:val="00AD732D"/>
    <w:rsid w:val="00AD7E06"/>
    <w:rsid w:val="00AE0052"/>
    <w:rsid w:val="00AE20D4"/>
    <w:rsid w:val="00AE2718"/>
    <w:rsid w:val="00AE273B"/>
    <w:rsid w:val="00AE2CC3"/>
    <w:rsid w:val="00AE2DDF"/>
    <w:rsid w:val="00AE2E1E"/>
    <w:rsid w:val="00AE30CF"/>
    <w:rsid w:val="00AE3867"/>
    <w:rsid w:val="00AE3C77"/>
    <w:rsid w:val="00AE4202"/>
    <w:rsid w:val="00AE4ECD"/>
    <w:rsid w:val="00AE5600"/>
    <w:rsid w:val="00AE6F49"/>
    <w:rsid w:val="00AE7EA7"/>
    <w:rsid w:val="00AF0098"/>
    <w:rsid w:val="00AF0536"/>
    <w:rsid w:val="00AF1890"/>
    <w:rsid w:val="00AF2796"/>
    <w:rsid w:val="00AF2B7F"/>
    <w:rsid w:val="00AF2CC6"/>
    <w:rsid w:val="00AF3473"/>
    <w:rsid w:val="00AF45CD"/>
    <w:rsid w:val="00AF48A8"/>
    <w:rsid w:val="00AF4A07"/>
    <w:rsid w:val="00AF4CBD"/>
    <w:rsid w:val="00AF4E18"/>
    <w:rsid w:val="00AF5073"/>
    <w:rsid w:val="00AF580C"/>
    <w:rsid w:val="00AF60F1"/>
    <w:rsid w:val="00AF6626"/>
    <w:rsid w:val="00AF7515"/>
    <w:rsid w:val="00AF7A08"/>
    <w:rsid w:val="00AF7D3E"/>
    <w:rsid w:val="00B00341"/>
    <w:rsid w:val="00B010E3"/>
    <w:rsid w:val="00B0122D"/>
    <w:rsid w:val="00B039EC"/>
    <w:rsid w:val="00B05039"/>
    <w:rsid w:val="00B05534"/>
    <w:rsid w:val="00B06FCE"/>
    <w:rsid w:val="00B075E1"/>
    <w:rsid w:val="00B07749"/>
    <w:rsid w:val="00B07ABB"/>
    <w:rsid w:val="00B07FFB"/>
    <w:rsid w:val="00B112DA"/>
    <w:rsid w:val="00B12191"/>
    <w:rsid w:val="00B12C65"/>
    <w:rsid w:val="00B13226"/>
    <w:rsid w:val="00B134CB"/>
    <w:rsid w:val="00B13CBD"/>
    <w:rsid w:val="00B13CFC"/>
    <w:rsid w:val="00B140DB"/>
    <w:rsid w:val="00B142B7"/>
    <w:rsid w:val="00B14C59"/>
    <w:rsid w:val="00B15481"/>
    <w:rsid w:val="00B15ABB"/>
    <w:rsid w:val="00B15B9E"/>
    <w:rsid w:val="00B16951"/>
    <w:rsid w:val="00B16A7A"/>
    <w:rsid w:val="00B16FD7"/>
    <w:rsid w:val="00B16FDA"/>
    <w:rsid w:val="00B174FB"/>
    <w:rsid w:val="00B178FE"/>
    <w:rsid w:val="00B17F10"/>
    <w:rsid w:val="00B17FD1"/>
    <w:rsid w:val="00B2066C"/>
    <w:rsid w:val="00B210FB"/>
    <w:rsid w:val="00B21279"/>
    <w:rsid w:val="00B21E5B"/>
    <w:rsid w:val="00B222EE"/>
    <w:rsid w:val="00B2333A"/>
    <w:rsid w:val="00B235F4"/>
    <w:rsid w:val="00B243D1"/>
    <w:rsid w:val="00B24FC4"/>
    <w:rsid w:val="00B259E6"/>
    <w:rsid w:val="00B26195"/>
    <w:rsid w:val="00B27C79"/>
    <w:rsid w:val="00B27F94"/>
    <w:rsid w:val="00B30579"/>
    <w:rsid w:val="00B30A8E"/>
    <w:rsid w:val="00B30D09"/>
    <w:rsid w:val="00B31E2B"/>
    <w:rsid w:val="00B31ED2"/>
    <w:rsid w:val="00B32BF6"/>
    <w:rsid w:val="00B3360C"/>
    <w:rsid w:val="00B33CAE"/>
    <w:rsid w:val="00B347E8"/>
    <w:rsid w:val="00B34A43"/>
    <w:rsid w:val="00B34FB1"/>
    <w:rsid w:val="00B3565A"/>
    <w:rsid w:val="00B35CC0"/>
    <w:rsid w:val="00B363BD"/>
    <w:rsid w:val="00B36B07"/>
    <w:rsid w:val="00B36F61"/>
    <w:rsid w:val="00B37C69"/>
    <w:rsid w:val="00B40622"/>
    <w:rsid w:val="00B40BA4"/>
    <w:rsid w:val="00B40BF6"/>
    <w:rsid w:val="00B41008"/>
    <w:rsid w:val="00B41217"/>
    <w:rsid w:val="00B429CE"/>
    <w:rsid w:val="00B42D10"/>
    <w:rsid w:val="00B434AC"/>
    <w:rsid w:val="00B44656"/>
    <w:rsid w:val="00B454AF"/>
    <w:rsid w:val="00B45A16"/>
    <w:rsid w:val="00B47C0A"/>
    <w:rsid w:val="00B50132"/>
    <w:rsid w:val="00B5059B"/>
    <w:rsid w:val="00B50601"/>
    <w:rsid w:val="00B50621"/>
    <w:rsid w:val="00B50707"/>
    <w:rsid w:val="00B52B4D"/>
    <w:rsid w:val="00B52D23"/>
    <w:rsid w:val="00B5303D"/>
    <w:rsid w:val="00B53817"/>
    <w:rsid w:val="00B538FF"/>
    <w:rsid w:val="00B53942"/>
    <w:rsid w:val="00B5495F"/>
    <w:rsid w:val="00B54ED6"/>
    <w:rsid w:val="00B55129"/>
    <w:rsid w:val="00B55162"/>
    <w:rsid w:val="00B5579A"/>
    <w:rsid w:val="00B557B2"/>
    <w:rsid w:val="00B55A5B"/>
    <w:rsid w:val="00B55BB7"/>
    <w:rsid w:val="00B55E48"/>
    <w:rsid w:val="00B6023C"/>
    <w:rsid w:val="00B602DA"/>
    <w:rsid w:val="00B608A3"/>
    <w:rsid w:val="00B611E9"/>
    <w:rsid w:val="00B614F8"/>
    <w:rsid w:val="00B6195F"/>
    <w:rsid w:val="00B619BE"/>
    <w:rsid w:val="00B61FEB"/>
    <w:rsid w:val="00B625C5"/>
    <w:rsid w:val="00B62C56"/>
    <w:rsid w:val="00B62C5B"/>
    <w:rsid w:val="00B632A8"/>
    <w:rsid w:val="00B64038"/>
    <w:rsid w:val="00B642D5"/>
    <w:rsid w:val="00B656B4"/>
    <w:rsid w:val="00B657B4"/>
    <w:rsid w:val="00B658A8"/>
    <w:rsid w:val="00B6595E"/>
    <w:rsid w:val="00B65EF1"/>
    <w:rsid w:val="00B667C5"/>
    <w:rsid w:val="00B67A44"/>
    <w:rsid w:val="00B67E51"/>
    <w:rsid w:val="00B67FC0"/>
    <w:rsid w:val="00B704CB"/>
    <w:rsid w:val="00B704DE"/>
    <w:rsid w:val="00B705D1"/>
    <w:rsid w:val="00B71565"/>
    <w:rsid w:val="00B718B2"/>
    <w:rsid w:val="00B719BD"/>
    <w:rsid w:val="00B71F0A"/>
    <w:rsid w:val="00B7221F"/>
    <w:rsid w:val="00B730E4"/>
    <w:rsid w:val="00B75270"/>
    <w:rsid w:val="00B7529A"/>
    <w:rsid w:val="00B7548F"/>
    <w:rsid w:val="00B75A4C"/>
    <w:rsid w:val="00B7735E"/>
    <w:rsid w:val="00B77537"/>
    <w:rsid w:val="00B77F3E"/>
    <w:rsid w:val="00B8005C"/>
    <w:rsid w:val="00B8063A"/>
    <w:rsid w:val="00B806F4"/>
    <w:rsid w:val="00B808CE"/>
    <w:rsid w:val="00B80CFB"/>
    <w:rsid w:val="00B80FF9"/>
    <w:rsid w:val="00B81D96"/>
    <w:rsid w:val="00B8244B"/>
    <w:rsid w:val="00B82661"/>
    <w:rsid w:val="00B82752"/>
    <w:rsid w:val="00B82A37"/>
    <w:rsid w:val="00B82E23"/>
    <w:rsid w:val="00B82FD9"/>
    <w:rsid w:val="00B83BC7"/>
    <w:rsid w:val="00B83F14"/>
    <w:rsid w:val="00B845B6"/>
    <w:rsid w:val="00B84852"/>
    <w:rsid w:val="00B8498C"/>
    <w:rsid w:val="00B858A0"/>
    <w:rsid w:val="00B85F91"/>
    <w:rsid w:val="00B86576"/>
    <w:rsid w:val="00B86F03"/>
    <w:rsid w:val="00B87873"/>
    <w:rsid w:val="00B90FCD"/>
    <w:rsid w:val="00B90FD9"/>
    <w:rsid w:val="00B91B0B"/>
    <w:rsid w:val="00B92CAE"/>
    <w:rsid w:val="00B93BFB"/>
    <w:rsid w:val="00B93D8B"/>
    <w:rsid w:val="00B94E95"/>
    <w:rsid w:val="00B95F60"/>
    <w:rsid w:val="00B97C5D"/>
    <w:rsid w:val="00B97EC4"/>
    <w:rsid w:val="00BA030D"/>
    <w:rsid w:val="00BA06E3"/>
    <w:rsid w:val="00BA0C8C"/>
    <w:rsid w:val="00BA0D94"/>
    <w:rsid w:val="00BA109A"/>
    <w:rsid w:val="00BA1642"/>
    <w:rsid w:val="00BA1EA3"/>
    <w:rsid w:val="00BA28CF"/>
    <w:rsid w:val="00BA331C"/>
    <w:rsid w:val="00BA3349"/>
    <w:rsid w:val="00BA350E"/>
    <w:rsid w:val="00BA3CA4"/>
    <w:rsid w:val="00BA3DEE"/>
    <w:rsid w:val="00BA4A56"/>
    <w:rsid w:val="00BA4F96"/>
    <w:rsid w:val="00BA4FB5"/>
    <w:rsid w:val="00BA5C32"/>
    <w:rsid w:val="00BA5F50"/>
    <w:rsid w:val="00BA6739"/>
    <w:rsid w:val="00BA6D64"/>
    <w:rsid w:val="00BA76F2"/>
    <w:rsid w:val="00BB0AEF"/>
    <w:rsid w:val="00BB3364"/>
    <w:rsid w:val="00BB399B"/>
    <w:rsid w:val="00BB4CBA"/>
    <w:rsid w:val="00BB52A4"/>
    <w:rsid w:val="00BB5613"/>
    <w:rsid w:val="00BB6430"/>
    <w:rsid w:val="00BB6A53"/>
    <w:rsid w:val="00BB6B31"/>
    <w:rsid w:val="00BB7124"/>
    <w:rsid w:val="00BB7F53"/>
    <w:rsid w:val="00BC137D"/>
    <w:rsid w:val="00BC15A4"/>
    <w:rsid w:val="00BC31D4"/>
    <w:rsid w:val="00BC3495"/>
    <w:rsid w:val="00BC35B5"/>
    <w:rsid w:val="00BC39FF"/>
    <w:rsid w:val="00BC4269"/>
    <w:rsid w:val="00BC484B"/>
    <w:rsid w:val="00BC4B2E"/>
    <w:rsid w:val="00BC5233"/>
    <w:rsid w:val="00BC55AA"/>
    <w:rsid w:val="00BC5960"/>
    <w:rsid w:val="00BC5AC5"/>
    <w:rsid w:val="00BC66B3"/>
    <w:rsid w:val="00BC68D2"/>
    <w:rsid w:val="00BC6C4E"/>
    <w:rsid w:val="00BC6F51"/>
    <w:rsid w:val="00BC71AC"/>
    <w:rsid w:val="00BC7455"/>
    <w:rsid w:val="00BD003E"/>
    <w:rsid w:val="00BD0E0B"/>
    <w:rsid w:val="00BD18E9"/>
    <w:rsid w:val="00BD279D"/>
    <w:rsid w:val="00BD2FBA"/>
    <w:rsid w:val="00BD36FB"/>
    <w:rsid w:val="00BD5214"/>
    <w:rsid w:val="00BD5AE8"/>
    <w:rsid w:val="00BD5E3C"/>
    <w:rsid w:val="00BD64F8"/>
    <w:rsid w:val="00BD7225"/>
    <w:rsid w:val="00BD7B68"/>
    <w:rsid w:val="00BE04BB"/>
    <w:rsid w:val="00BE0A6F"/>
    <w:rsid w:val="00BE0FD3"/>
    <w:rsid w:val="00BE16D7"/>
    <w:rsid w:val="00BE1993"/>
    <w:rsid w:val="00BE226B"/>
    <w:rsid w:val="00BE2DAB"/>
    <w:rsid w:val="00BE3841"/>
    <w:rsid w:val="00BE3BE3"/>
    <w:rsid w:val="00BE4185"/>
    <w:rsid w:val="00BE50CD"/>
    <w:rsid w:val="00BE52BB"/>
    <w:rsid w:val="00BE56C6"/>
    <w:rsid w:val="00BE56F3"/>
    <w:rsid w:val="00BE5E26"/>
    <w:rsid w:val="00BE698C"/>
    <w:rsid w:val="00BE6E03"/>
    <w:rsid w:val="00BE77A9"/>
    <w:rsid w:val="00BE789D"/>
    <w:rsid w:val="00BF0097"/>
    <w:rsid w:val="00BF0771"/>
    <w:rsid w:val="00BF14AE"/>
    <w:rsid w:val="00BF1FAB"/>
    <w:rsid w:val="00BF21C3"/>
    <w:rsid w:val="00BF2782"/>
    <w:rsid w:val="00BF27E1"/>
    <w:rsid w:val="00BF284E"/>
    <w:rsid w:val="00BF32CB"/>
    <w:rsid w:val="00BF3830"/>
    <w:rsid w:val="00BF394D"/>
    <w:rsid w:val="00BF3A83"/>
    <w:rsid w:val="00BF3A84"/>
    <w:rsid w:val="00BF4B57"/>
    <w:rsid w:val="00BF5099"/>
    <w:rsid w:val="00BF5C97"/>
    <w:rsid w:val="00BF6172"/>
    <w:rsid w:val="00BF6315"/>
    <w:rsid w:val="00BF639F"/>
    <w:rsid w:val="00BF71C5"/>
    <w:rsid w:val="00C0058C"/>
    <w:rsid w:val="00C016ED"/>
    <w:rsid w:val="00C01A92"/>
    <w:rsid w:val="00C0232B"/>
    <w:rsid w:val="00C03689"/>
    <w:rsid w:val="00C04139"/>
    <w:rsid w:val="00C042AF"/>
    <w:rsid w:val="00C0502F"/>
    <w:rsid w:val="00C052BB"/>
    <w:rsid w:val="00C05952"/>
    <w:rsid w:val="00C05A94"/>
    <w:rsid w:val="00C060B2"/>
    <w:rsid w:val="00C06126"/>
    <w:rsid w:val="00C06C41"/>
    <w:rsid w:val="00C06F6F"/>
    <w:rsid w:val="00C0752E"/>
    <w:rsid w:val="00C10401"/>
    <w:rsid w:val="00C11121"/>
    <w:rsid w:val="00C11712"/>
    <w:rsid w:val="00C11E25"/>
    <w:rsid w:val="00C138D6"/>
    <w:rsid w:val="00C15567"/>
    <w:rsid w:val="00C168C6"/>
    <w:rsid w:val="00C16A56"/>
    <w:rsid w:val="00C17649"/>
    <w:rsid w:val="00C179F7"/>
    <w:rsid w:val="00C17D9F"/>
    <w:rsid w:val="00C20182"/>
    <w:rsid w:val="00C20F4E"/>
    <w:rsid w:val="00C21621"/>
    <w:rsid w:val="00C21DC8"/>
    <w:rsid w:val="00C22114"/>
    <w:rsid w:val="00C22E58"/>
    <w:rsid w:val="00C22ED7"/>
    <w:rsid w:val="00C23B6E"/>
    <w:rsid w:val="00C23E7C"/>
    <w:rsid w:val="00C2412B"/>
    <w:rsid w:val="00C243B6"/>
    <w:rsid w:val="00C2448E"/>
    <w:rsid w:val="00C24E1D"/>
    <w:rsid w:val="00C2574A"/>
    <w:rsid w:val="00C2665E"/>
    <w:rsid w:val="00C277CA"/>
    <w:rsid w:val="00C27E60"/>
    <w:rsid w:val="00C305F8"/>
    <w:rsid w:val="00C31FD3"/>
    <w:rsid w:val="00C322F9"/>
    <w:rsid w:val="00C32D48"/>
    <w:rsid w:val="00C3335B"/>
    <w:rsid w:val="00C33600"/>
    <w:rsid w:val="00C344DF"/>
    <w:rsid w:val="00C34A39"/>
    <w:rsid w:val="00C34E8F"/>
    <w:rsid w:val="00C352F6"/>
    <w:rsid w:val="00C35586"/>
    <w:rsid w:val="00C356E0"/>
    <w:rsid w:val="00C367B1"/>
    <w:rsid w:val="00C37231"/>
    <w:rsid w:val="00C37A62"/>
    <w:rsid w:val="00C40292"/>
    <w:rsid w:val="00C402BB"/>
    <w:rsid w:val="00C40B0F"/>
    <w:rsid w:val="00C4113C"/>
    <w:rsid w:val="00C41AC0"/>
    <w:rsid w:val="00C42D5A"/>
    <w:rsid w:val="00C42D6F"/>
    <w:rsid w:val="00C441D9"/>
    <w:rsid w:val="00C4539D"/>
    <w:rsid w:val="00C45879"/>
    <w:rsid w:val="00C458AC"/>
    <w:rsid w:val="00C45CA5"/>
    <w:rsid w:val="00C45F66"/>
    <w:rsid w:val="00C460F5"/>
    <w:rsid w:val="00C4727C"/>
    <w:rsid w:val="00C47F2E"/>
    <w:rsid w:val="00C51259"/>
    <w:rsid w:val="00C52735"/>
    <w:rsid w:val="00C527A3"/>
    <w:rsid w:val="00C52CA4"/>
    <w:rsid w:val="00C530A1"/>
    <w:rsid w:val="00C53A42"/>
    <w:rsid w:val="00C5442E"/>
    <w:rsid w:val="00C54AC8"/>
    <w:rsid w:val="00C54BEB"/>
    <w:rsid w:val="00C5571D"/>
    <w:rsid w:val="00C55B9F"/>
    <w:rsid w:val="00C55D04"/>
    <w:rsid w:val="00C56631"/>
    <w:rsid w:val="00C56ACB"/>
    <w:rsid w:val="00C574C5"/>
    <w:rsid w:val="00C57B83"/>
    <w:rsid w:val="00C57C0F"/>
    <w:rsid w:val="00C57F3F"/>
    <w:rsid w:val="00C604D9"/>
    <w:rsid w:val="00C605D8"/>
    <w:rsid w:val="00C613E6"/>
    <w:rsid w:val="00C61C41"/>
    <w:rsid w:val="00C6290F"/>
    <w:rsid w:val="00C62ADB"/>
    <w:rsid w:val="00C63292"/>
    <w:rsid w:val="00C63735"/>
    <w:rsid w:val="00C63C1A"/>
    <w:rsid w:val="00C64816"/>
    <w:rsid w:val="00C65D1D"/>
    <w:rsid w:val="00C6634E"/>
    <w:rsid w:val="00C666CF"/>
    <w:rsid w:val="00C673DC"/>
    <w:rsid w:val="00C677C9"/>
    <w:rsid w:val="00C67B92"/>
    <w:rsid w:val="00C67BE6"/>
    <w:rsid w:val="00C716CA"/>
    <w:rsid w:val="00C71B44"/>
    <w:rsid w:val="00C725D7"/>
    <w:rsid w:val="00C72E97"/>
    <w:rsid w:val="00C73295"/>
    <w:rsid w:val="00C73C42"/>
    <w:rsid w:val="00C746FE"/>
    <w:rsid w:val="00C74835"/>
    <w:rsid w:val="00C7493C"/>
    <w:rsid w:val="00C74E9C"/>
    <w:rsid w:val="00C75020"/>
    <w:rsid w:val="00C769B0"/>
    <w:rsid w:val="00C774D3"/>
    <w:rsid w:val="00C77EC5"/>
    <w:rsid w:val="00C8027C"/>
    <w:rsid w:val="00C806E9"/>
    <w:rsid w:val="00C809B9"/>
    <w:rsid w:val="00C81954"/>
    <w:rsid w:val="00C81A80"/>
    <w:rsid w:val="00C82170"/>
    <w:rsid w:val="00C821C7"/>
    <w:rsid w:val="00C83013"/>
    <w:rsid w:val="00C83AE2"/>
    <w:rsid w:val="00C846D5"/>
    <w:rsid w:val="00C84DC4"/>
    <w:rsid w:val="00C854A8"/>
    <w:rsid w:val="00C85614"/>
    <w:rsid w:val="00C85755"/>
    <w:rsid w:val="00C860CA"/>
    <w:rsid w:val="00C86957"/>
    <w:rsid w:val="00C86DB8"/>
    <w:rsid w:val="00C9170E"/>
    <w:rsid w:val="00C92086"/>
    <w:rsid w:val="00C92420"/>
    <w:rsid w:val="00C93080"/>
    <w:rsid w:val="00C930C4"/>
    <w:rsid w:val="00C93A31"/>
    <w:rsid w:val="00C9456C"/>
    <w:rsid w:val="00C950C5"/>
    <w:rsid w:val="00C952BE"/>
    <w:rsid w:val="00C95985"/>
    <w:rsid w:val="00C959DA"/>
    <w:rsid w:val="00C95DEA"/>
    <w:rsid w:val="00C95E50"/>
    <w:rsid w:val="00C95E7A"/>
    <w:rsid w:val="00C97712"/>
    <w:rsid w:val="00CA0FA4"/>
    <w:rsid w:val="00CA115B"/>
    <w:rsid w:val="00CA18DA"/>
    <w:rsid w:val="00CA1F55"/>
    <w:rsid w:val="00CA1F59"/>
    <w:rsid w:val="00CA2621"/>
    <w:rsid w:val="00CA2ED0"/>
    <w:rsid w:val="00CA2FAB"/>
    <w:rsid w:val="00CA3678"/>
    <w:rsid w:val="00CA4041"/>
    <w:rsid w:val="00CA48F6"/>
    <w:rsid w:val="00CA50A6"/>
    <w:rsid w:val="00CA5422"/>
    <w:rsid w:val="00CA63AE"/>
    <w:rsid w:val="00CA6E3A"/>
    <w:rsid w:val="00CA7256"/>
    <w:rsid w:val="00CA7E34"/>
    <w:rsid w:val="00CB09EE"/>
    <w:rsid w:val="00CB11D6"/>
    <w:rsid w:val="00CB11E0"/>
    <w:rsid w:val="00CB1FE1"/>
    <w:rsid w:val="00CB319D"/>
    <w:rsid w:val="00CB33D7"/>
    <w:rsid w:val="00CB3714"/>
    <w:rsid w:val="00CB4DE2"/>
    <w:rsid w:val="00CB7475"/>
    <w:rsid w:val="00CC004A"/>
    <w:rsid w:val="00CC0179"/>
    <w:rsid w:val="00CC0A13"/>
    <w:rsid w:val="00CC0F03"/>
    <w:rsid w:val="00CC13A0"/>
    <w:rsid w:val="00CC166A"/>
    <w:rsid w:val="00CC1B29"/>
    <w:rsid w:val="00CC3A81"/>
    <w:rsid w:val="00CC3EC1"/>
    <w:rsid w:val="00CC4444"/>
    <w:rsid w:val="00CC475F"/>
    <w:rsid w:val="00CC4B7C"/>
    <w:rsid w:val="00CC5222"/>
    <w:rsid w:val="00CC6082"/>
    <w:rsid w:val="00CC6C6E"/>
    <w:rsid w:val="00CC7507"/>
    <w:rsid w:val="00CC76E6"/>
    <w:rsid w:val="00CC7FD1"/>
    <w:rsid w:val="00CC7FFB"/>
    <w:rsid w:val="00CD01E6"/>
    <w:rsid w:val="00CD05C8"/>
    <w:rsid w:val="00CD06BF"/>
    <w:rsid w:val="00CD06F2"/>
    <w:rsid w:val="00CD0834"/>
    <w:rsid w:val="00CD0A7F"/>
    <w:rsid w:val="00CD1131"/>
    <w:rsid w:val="00CD1A92"/>
    <w:rsid w:val="00CD1F55"/>
    <w:rsid w:val="00CD276F"/>
    <w:rsid w:val="00CD324F"/>
    <w:rsid w:val="00CD43EE"/>
    <w:rsid w:val="00CD4C69"/>
    <w:rsid w:val="00CD69CD"/>
    <w:rsid w:val="00CD6ED2"/>
    <w:rsid w:val="00CD7002"/>
    <w:rsid w:val="00CE0557"/>
    <w:rsid w:val="00CE0A18"/>
    <w:rsid w:val="00CE1A22"/>
    <w:rsid w:val="00CE2781"/>
    <w:rsid w:val="00CE33DA"/>
    <w:rsid w:val="00CE3BE7"/>
    <w:rsid w:val="00CE3C10"/>
    <w:rsid w:val="00CE56C3"/>
    <w:rsid w:val="00CE5D62"/>
    <w:rsid w:val="00CE6356"/>
    <w:rsid w:val="00CE6634"/>
    <w:rsid w:val="00CE6EDE"/>
    <w:rsid w:val="00CE7CD2"/>
    <w:rsid w:val="00CF0BD5"/>
    <w:rsid w:val="00CF1803"/>
    <w:rsid w:val="00CF191B"/>
    <w:rsid w:val="00CF2201"/>
    <w:rsid w:val="00CF2C71"/>
    <w:rsid w:val="00CF3176"/>
    <w:rsid w:val="00CF35DB"/>
    <w:rsid w:val="00CF5168"/>
    <w:rsid w:val="00CF5FC6"/>
    <w:rsid w:val="00CF62BB"/>
    <w:rsid w:val="00CF7357"/>
    <w:rsid w:val="00CF7811"/>
    <w:rsid w:val="00CF7842"/>
    <w:rsid w:val="00D0139E"/>
    <w:rsid w:val="00D0140B"/>
    <w:rsid w:val="00D014DB"/>
    <w:rsid w:val="00D016BD"/>
    <w:rsid w:val="00D020D2"/>
    <w:rsid w:val="00D023F2"/>
    <w:rsid w:val="00D0291E"/>
    <w:rsid w:val="00D0321C"/>
    <w:rsid w:val="00D045B1"/>
    <w:rsid w:val="00D04B43"/>
    <w:rsid w:val="00D05194"/>
    <w:rsid w:val="00D051A3"/>
    <w:rsid w:val="00D0592B"/>
    <w:rsid w:val="00D05CA3"/>
    <w:rsid w:val="00D073D4"/>
    <w:rsid w:val="00D07A06"/>
    <w:rsid w:val="00D10941"/>
    <w:rsid w:val="00D110DB"/>
    <w:rsid w:val="00D12684"/>
    <w:rsid w:val="00D12EB1"/>
    <w:rsid w:val="00D13AF7"/>
    <w:rsid w:val="00D13D7C"/>
    <w:rsid w:val="00D1439B"/>
    <w:rsid w:val="00D14ADA"/>
    <w:rsid w:val="00D14BDC"/>
    <w:rsid w:val="00D1547D"/>
    <w:rsid w:val="00D15834"/>
    <w:rsid w:val="00D15D1D"/>
    <w:rsid w:val="00D17D34"/>
    <w:rsid w:val="00D2063A"/>
    <w:rsid w:val="00D20A32"/>
    <w:rsid w:val="00D2176B"/>
    <w:rsid w:val="00D233A3"/>
    <w:rsid w:val="00D2389D"/>
    <w:rsid w:val="00D2397E"/>
    <w:rsid w:val="00D24332"/>
    <w:rsid w:val="00D24B5B"/>
    <w:rsid w:val="00D24E7D"/>
    <w:rsid w:val="00D25335"/>
    <w:rsid w:val="00D25C6F"/>
    <w:rsid w:val="00D2660D"/>
    <w:rsid w:val="00D26719"/>
    <w:rsid w:val="00D276D6"/>
    <w:rsid w:val="00D27E69"/>
    <w:rsid w:val="00D311A0"/>
    <w:rsid w:val="00D317C2"/>
    <w:rsid w:val="00D32008"/>
    <w:rsid w:val="00D32033"/>
    <w:rsid w:val="00D322C4"/>
    <w:rsid w:val="00D32813"/>
    <w:rsid w:val="00D32B0C"/>
    <w:rsid w:val="00D3317D"/>
    <w:rsid w:val="00D33252"/>
    <w:rsid w:val="00D34B96"/>
    <w:rsid w:val="00D36DA1"/>
    <w:rsid w:val="00D377E1"/>
    <w:rsid w:val="00D379BC"/>
    <w:rsid w:val="00D40C3D"/>
    <w:rsid w:val="00D413F6"/>
    <w:rsid w:val="00D41622"/>
    <w:rsid w:val="00D41676"/>
    <w:rsid w:val="00D4188A"/>
    <w:rsid w:val="00D41D58"/>
    <w:rsid w:val="00D42878"/>
    <w:rsid w:val="00D429AA"/>
    <w:rsid w:val="00D44952"/>
    <w:rsid w:val="00D466CC"/>
    <w:rsid w:val="00D472FC"/>
    <w:rsid w:val="00D4762D"/>
    <w:rsid w:val="00D4773A"/>
    <w:rsid w:val="00D47B5E"/>
    <w:rsid w:val="00D500FB"/>
    <w:rsid w:val="00D50217"/>
    <w:rsid w:val="00D504D2"/>
    <w:rsid w:val="00D507C5"/>
    <w:rsid w:val="00D5091B"/>
    <w:rsid w:val="00D50F3C"/>
    <w:rsid w:val="00D512BB"/>
    <w:rsid w:val="00D5165B"/>
    <w:rsid w:val="00D51DA3"/>
    <w:rsid w:val="00D520CC"/>
    <w:rsid w:val="00D5234E"/>
    <w:rsid w:val="00D52DEF"/>
    <w:rsid w:val="00D53AA5"/>
    <w:rsid w:val="00D53C7B"/>
    <w:rsid w:val="00D54DCC"/>
    <w:rsid w:val="00D55157"/>
    <w:rsid w:val="00D5558A"/>
    <w:rsid w:val="00D56017"/>
    <w:rsid w:val="00D5624D"/>
    <w:rsid w:val="00D57C1B"/>
    <w:rsid w:val="00D60109"/>
    <w:rsid w:val="00D60117"/>
    <w:rsid w:val="00D61356"/>
    <w:rsid w:val="00D615A7"/>
    <w:rsid w:val="00D61CFF"/>
    <w:rsid w:val="00D61E64"/>
    <w:rsid w:val="00D6360C"/>
    <w:rsid w:val="00D64714"/>
    <w:rsid w:val="00D66BC4"/>
    <w:rsid w:val="00D66DB4"/>
    <w:rsid w:val="00D67393"/>
    <w:rsid w:val="00D67A7E"/>
    <w:rsid w:val="00D67E08"/>
    <w:rsid w:val="00D70295"/>
    <w:rsid w:val="00D7032C"/>
    <w:rsid w:val="00D7067B"/>
    <w:rsid w:val="00D70A79"/>
    <w:rsid w:val="00D70CF4"/>
    <w:rsid w:val="00D70EA3"/>
    <w:rsid w:val="00D712EC"/>
    <w:rsid w:val="00D7175C"/>
    <w:rsid w:val="00D71851"/>
    <w:rsid w:val="00D722B2"/>
    <w:rsid w:val="00D72B2E"/>
    <w:rsid w:val="00D7332E"/>
    <w:rsid w:val="00D739A9"/>
    <w:rsid w:val="00D73EF7"/>
    <w:rsid w:val="00D7458C"/>
    <w:rsid w:val="00D74B6B"/>
    <w:rsid w:val="00D760A8"/>
    <w:rsid w:val="00D76CB8"/>
    <w:rsid w:val="00D77200"/>
    <w:rsid w:val="00D7730D"/>
    <w:rsid w:val="00D77383"/>
    <w:rsid w:val="00D77A26"/>
    <w:rsid w:val="00D77C51"/>
    <w:rsid w:val="00D77EF5"/>
    <w:rsid w:val="00D80272"/>
    <w:rsid w:val="00D80C65"/>
    <w:rsid w:val="00D822AD"/>
    <w:rsid w:val="00D8495E"/>
    <w:rsid w:val="00D85160"/>
    <w:rsid w:val="00D901C2"/>
    <w:rsid w:val="00D9074A"/>
    <w:rsid w:val="00D9097D"/>
    <w:rsid w:val="00D90DE5"/>
    <w:rsid w:val="00D92C63"/>
    <w:rsid w:val="00D9417C"/>
    <w:rsid w:val="00D949C7"/>
    <w:rsid w:val="00D94E69"/>
    <w:rsid w:val="00D952E4"/>
    <w:rsid w:val="00D95B22"/>
    <w:rsid w:val="00D968D4"/>
    <w:rsid w:val="00D96E8E"/>
    <w:rsid w:val="00D97891"/>
    <w:rsid w:val="00DA03B3"/>
    <w:rsid w:val="00DA1647"/>
    <w:rsid w:val="00DA2446"/>
    <w:rsid w:val="00DA2D12"/>
    <w:rsid w:val="00DA32E6"/>
    <w:rsid w:val="00DA32F7"/>
    <w:rsid w:val="00DA35EE"/>
    <w:rsid w:val="00DA361A"/>
    <w:rsid w:val="00DA3950"/>
    <w:rsid w:val="00DA3F48"/>
    <w:rsid w:val="00DA47A9"/>
    <w:rsid w:val="00DA55F6"/>
    <w:rsid w:val="00DA6E41"/>
    <w:rsid w:val="00DA7113"/>
    <w:rsid w:val="00DA7B9F"/>
    <w:rsid w:val="00DB0904"/>
    <w:rsid w:val="00DB0AB7"/>
    <w:rsid w:val="00DB0F0D"/>
    <w:rsid w:val="00DB227D"/>
    <w:rsid w:val="00DB25C5"/>
    <w:rsid w:val="00DB2997"/>
    <w:rsid w:val="00DB2BD4"/>
    <w:rsid w:val="00DB2C7E"/>
    <w:rsid w:val="00DB3413"/>
    <w:rsid w:val="00DB59B4"/>
    <w:rsid w:val="00DB6D92"/>
    <w:rsid w:val="00DB7520"/>
    <w:rsid w:val="00DC0462"/>
    <w:rsid w:val="00DC0881"/>
    <w:rsid w:val="00DC089C"/>
    <w:rsid w:val="00DC0A8A"/>
    <w:rsid w:val="00DC0CBC"/>
    <w:rsid w:val="00DC1166"/>
    <w:rsid w:val="00DC1A2A"/>
    <w:rsid w:val="00DC2687"/>
    <w:rsid w:val="00DC2C93"/>
    <w:rsid w:val="00DC306B"/>
    <w:rsid w:val="00DC32FA"/>
    <w:rsid w:val="00DC41B3"/>
    <w:rsid w:val="00DC494D"/>
    <w:rsid w:val="00DC5350"/>
    <w:rsid w:val="00DC57BD"/>
    <w:rsid w:val="00DC67AC"/>
    <w:rsid w:val="00DC6D5F"/>
    <w:rsid w:val="00DC6E37"/>
    <w:rsid w:val="00DC7503"/>
    <w:rsid w:val="00DC7B6E"/>
    <w:rsid w:val="00DD0814"/>
    <w:rsid w:val="00DD090D"/>
    <w:rsid w:val="00DD0B00"/>
    <w:rsid w:val="00DD146F"/>
    <w:rsid w:val="00DD1CA8"/>
    <w:rsid w:val="00DD350D"/>
    <w:rsid w:val="00DD3B19"/>
    <w:rsid w:val="00DD4216"/>
    <w:rsid w:val="00DD4F6E"/>
    <w:rsid w:val="00DD50DD"/>
    <w:rsid w:val="00DD5207"/>
    <w:rsid w:val="00DD581A"/>
    <w:rsid w:val="00DD5AE1"/>
    <w:rsid w:val="00DD5B1C"/>
    <w:rsid w:val="00DD5B49"/>
    <w:rsid w:val="00DD60DC"/>
    <w:rsid w:val="00DD65B2"/>
    <w:rsid w:val="00DD7C58"/>
    <w:rsid w:val="00DD7F02"/>
    <w:rsid w:val="00DE0DA4"/>
    <w:rsid w:val="00DE151B"/>
    <w:rsid w:val="00DE1F2B"/>
    <w:rsid w:val="00DE274C"/>
    <w:rsid w:val="00DE2760"/>
    <w:rsid w:val="00DE287D"/>
    <w:rsid w:val="00DE2A8B"/>
    <w:rsid w:val="00DE3067"/>
    <w:rsid w:val="00DE4090"/>
    <w:rsid w:val="00DE4A17"/>
    <w:rsid w:val="00DE5003"/>
    <w:rsid w:val="00DE5F30"/>
    <w:rsid w:val="00DE60A2"/>
    <w:rsid w:val="00DE7228"/>
    <w:rsid w:val="00DE7389"/>
    <w:rsid w:val="00DE7727"/>
    <w:rsid w:val="00DE7D8F"/>
    <w:rsid w:val="00DF06F3"/>
    <w:rsid w:val="00DF11B0"/>
    <w:rsid w:val="00DF1383"/>
    <w:rsid w:val="00DF184D"/>
    <w:rsid w:val="00DF2A1A"/>
    <w:rsid w:val="00DF2DFC"/>
    <w:rsid w:val="00DF31B2"/>
    <w:rsid w:val="00DF341B"/>
    <w:rsid w:val="00DF4239"/>
    <w:rsid w:val="00DF5980"/>
    <w:rsid w:val="00DF5EB7"/>
    <w:rsid w:val="00E0095F"/>
    <w:rsid w:val="00E00C6B"/>
    <w:rsid w:val="00E00E8E"/>
    <w:rsid w:val="00E02428"/>
    <w:rsid w:val="00E028EE"/>
    <w:rsid w:val="00E03908"/>
    <w:rsid w:val="00E03A0B"/>
    <w:rsid w:val="00E03A59"/>
    <w:rsid w:val="00E03A6C"/>
    <w:rsid w:val="00E03DA2"/>
    <w:rsid w:val="00E03EB1"/>
    <w:rsid w:val="00E042E5"/>
    <w:rsid w:val="00E046C0"/>
    <w:rsid w:val="00E07890"/>
    <w:rsid w:val="00E07BDB"/>
    <w:rsid w:val="00E07C97"/>
    <w:rsid w:val="00E07F5F"/>
    <w:rsid w:val="00E10018"/>
    <w:rsid w:val="00E1074D"/>
    <w:rsid w:val="00E10CAD"/>
    <w:rsid w:val="00E10D1E"/>
    <w:rsid w:val="00E10F6B"/>
    <w:rsid w:val="00E119DC"/>
    <w:rsid w:val="00E12BF7"/>
    <w:rsid w:val="00E12F74"/>
    <w:rsid w:val="00E139CA"/>
    <w:rsid w:val="00E15A04"/>
    <w:rsid w:val="00E15C36"/>
    <w:rsid w:val="00E15C46"/>
    <w:rsid w:val="00E16029"/>
    <w:rsid w:val="00E16BCC"/>
    <w:rsid w:val="00E16F1D"/>
    <w:rsid w:val="00E214EB"/>
    <w:rsid w:val="00E21A5D"/>
    <w:rsid w:val="00E21CF0"/>
    <w:rsid w:val="00E2203A"/>
    <w:rsid w:val="00E22262"/>
    <w:rsid w:val="00E232BC"/>
    <w:rsid w:val="00E234D2"/>
    <w:rsid w:val="00E2486C"/>
    <w:rsid w:val="00E26A39"/>
    <w:rsid w:val="00E301FA"/>
    <w:rsid w:val="00E30562"/>
    <w:rsid w:val="00E30D80"/>
    <w:rsid w:val="00E3131F"/>
    <w:rsid w:val="00E319C5"/>
    <w:rsid w:val="00E31B55"/>
    <w:rsid w:val="00E320AC"/>
    <w:rsid w:val="00E3222D"/>
    <w:rsid w:val="00E324CC"/>
    <w:rsid w:val="00E34407"/>
    <w:rsid w:val="00E3467F"/>
    <w:rsid w:val="00E35C4D"/>
    <w:rsid w:val="00E405E8"/>
    <w:rsid w:val="00E413B8"/>
    <w:rsid w:val="00E41C43"/>
    <w:rsid w:val="00E41CD1"/>
    <w:rsid w:val="00E41CDC"/>
    <w:rsid w:val="00E41D5D"/>
    <w:rsid w:val="00E42AC9"/>
    <w:rsid w:val="00E43E46"/>
    <w:rsid w:val="00E4440F"/>
    <w:rsid w:val="00E454D5"/>
    <w:rsid w:val="00E47690"/>
    <w:rsid w:val="00E50AFD"/>
    <w:rsid w:val="00E50BC6"/>
    <w:rsid w:val="00E51340"/>
    <w:rsid w:val="00E513E4"/>
    <w:rsid w:val="00E52089"/>
    <w:rsid w:val="00E52205"/>
    <w:rsid w:val="00E525B3"/>
    <w:rsid w:val="00E539D8"/>
    <w:rsid w:val="00E53A32"/>
    <w:rsid w:val="00E5411D"/>
    <w:rsid w:val="00E54B20"/>
    <w:rsid w:val="00E54D81"/>
    <w:rsid w:val="00E55290"/>
    <w:rsid w:val="00E55FF6"/>
    <w:rsid w:val="00E5694D"/>
    <w:rsid w:val="00E56975"/>
    <w:rsid w:val="00E5744A"/>
    <w:rsid w:val="00E574B5"/>
    <w:rsid w:val="00E57526"/>
    <w:rsid w:val="00E57670"/>
    <w:rsid w:val="00E6049B"/>
    <w:rsid w:val="00E61597"/>
    <w:rsid w:val="00E61DD9"/>
    <w:rsid w:val="00E62696"/>
    <w:rsid w:val="00E62B3C"/>
    <w:rsid w:val="00E633A3"/>
    <w:rsid w:val="00E643A6"/>
    <w:rsid w:val="00E64F17"/>
    <w:rsid w:val="00E655FF"/>
    <w:rsid w:val="00E65E14"/>
    <w:rsid w:val="00E66A92"/>
    <w:rsid w:val="00E66FEF"/>
    <w:rsid w:val="00E670D8"/>
    <w:rsid w:val="00E673C4"/>
    <w:rsid w:val="00E67D48"/>
    <w:rsid w:val="00E704DE"/>
    <w:rsid w:val="00E7057B"/>
    <w:rsid w:val="00E71C79"/>
    <w:rsid w:val="00E71D47"/>
    <w:rsid w:val="00E71F53"/>
    <w:rsid w:val="00E725F7"/>
    <w:rsid w:val="00E72EB2"/>
    <w:rsid w:val="00E7382B"/>
    <w:rsid w:val="00E73AA2"/>
    <w:rsid w:val="00E74CBC"/>
    <w:rsid w:val="00E7553B"/>
    <w:rsid w:val="00E75678"/>
    <w:rsid w:val="00E75864"/>
    <w:rsid w:val="00E75B50"/>
    <w:rsid w:val="00E75DF0"/>
    <w:rsid w:val="00E76737"/>
    <w:rsid w:val="00E7773E"/>
    <w:rsid w:val="00E77DB4"/>
    <w:rsid w:val="00E80520"/>
    <w:rsid w:val="00E80FB6"/>
    <w:rsid w:val="00E82653"/>
    <w:rsid w:val="00E836AC"/>
    <w:rsid w:val="00E83A90"/>
    <w:rsid w:val="00E84310"/>
    <w:rsid w:val="00E849D4"/>
    <w:rsid w:val="00E85421"/>
    <w:rsid w:val="00E855A7"/>
    <w:rsid w:val="00E85B33"/>
    <w:rsid w:val="00E85C54"/>
    <w:rsid w:val="00E85D04"/>
    <w:rsid w:val="00E86348"/>
    <w:rsid w:val="00E86479"/>
    <w:rsid w:val="00E86828"/>
    <w:rsid w:val="00E86925"/>
    <w:rsid w:val="00E86E4A"/>
    <w:rsid w:val="00E87423"/>
    <w:rsid w:val="00E875A1"/>
    <w:rsid w:val="00E87962"/>
    <w:rsid w:val="00E87F41"/>
    <w:rsid w:val="00E901C9"/>
    <w:rsid w:val="00E91C6C"/>
    <w:rsid w:val="00E922A3"/>
    <w:rsid w:val="00E922FF"/>
    <w:rsid w:val="00E939B8"/>
    <w:rsid w:val="00E95EC5"/>
    <w:rsid w:val="00E9713D"/>
    <w:rsid w:val="00E973A9"/>
    <w:rsid w:val="00EA09FF"/>
    <w:rsid w:val="00EA0BE0"/>
    <w:rsid w:val="00EA1FBE"/>
    <w:rsid w:val="00EA24DA"/>
    <w:rsid w:val="00EA251F"/>
    <w:rsid w:val="00EA263C"/>
    <w:rsid w:val="00EA2D5E"/>
    <w:rsid w:val="00EA4152"/>
    <w:rsid w:val="00EA5FAF"/>
    <w:rsid w:val="00EA652F"/>
    <w:rsid w:val="00EA6D06"/>
    <w:rsid w:val="00EA73B7"/>
    <w:rsid w:val="00EA755F"/>
    <w:rsid w:val="00EA7B7E"/>
    <w:rsid w:val="00EB0112"/>
    <w:rsid w:val="00EB04B4"/>
    <w:rsid w:val="00EB08DC"/>
    <w:rsid w:val="00EB39C8"/>
    <w:rsid w:val="00EB3BD5"/>
    <w:rsid w:val="00EB4128"/>
    <w:rsid w:val="00EB426C"/>
    <w:rsid w:val="00EB4CC3"/>
    <w:rsid w:val="00EB52E7"/>
    <w:rsid w:val="00EB5621"/>
    <w:rsid w:val="00EB63D8"/>
    <w:rsid w:val="00EB6F63"/>
    <w:rsid w:val="00EB7AD8"/>
    <w:rsid w:val="00EB7FA8"/>
    <w:rsid w:val="00EC0520"/>
    <w:rsid w:val="00EC0632"/>
    <w:rsid w:val="00EC0EB1"/>
    <w:rsid w:val="00EC31E6"/>
    <w:rsid w:val="00EC3290"/>
    <w:rsid w:val="00EC355E"/>
    <w:rsid w:val="00EC3753"/>
    <w:rsid w:val="00EC4398"/>
    <w:rsid w:val="00EC4761"/>
    <w:rsid w:val="00EC4896"/>
    <w:rsid w:val="00EC586C"/>
    <w:rsid w:val="00EC6BFB"/>
    <w:rsid w:val="00EC7C1B"/>
    <w:rsid w:val="00ED00C2"/>
    <w:rsid w:val="00ED06E8"/>
    <w:rsid w:val="00ED17A9"/>
    <w:rsid w:val="00ED1AF3"/>
    <w:rsid w:val="00ED1E7F"/>
    <w:rsid w:val="00ED3020"/>
    <w:rsid w:val="00ED5132"/>
    <w:rsid w:val="00ED58D4"/>
    <w:rsid w:val="00ED5D30"/>
    <w:rsid w:val="00ED729B"/>
    <w:rsid w:val="00EE1449"/>
    <w:rsid w:val="00EE1681"/>
    <w:rsid w:val="00EE21FF"/>
    <w:rsid w:val="00EE2348"/>
    <w:rsid w:val="00EE27FB"/>
    <w:rsid w:val="00EE371C"/>
    <w:rsid w:val="00EE39D6"/>
    <w:rsid w:val="00EE3C10"/>
    <w:rsid w:val="00EE41D1"/>
    <w:rsid w:val="00EE467C"/>
    <w:rsid w:val="00EE4A13"/>
    <w:rsid w:val="00EE4CB7"/>
    <w:rsid w:val="00EE518C"/>
    <w:rsid w:val="00EE5C23"/>
    <w:rsid w:val="00EE678D"/>
    <w:rsid w:val="00EE6C53"/>
    <w:rsid w:val="00EE7D34"/>
    <w:rsid w:val="00EE7D43"/>
    <w:rsid w:val="00EE7D74"/>
    <w:rsid w:val="00EF0929"/>
    <w:rsid w:val="00EF0CE9"/>
    <w:rsid w:val="00EF0EB0"/>
    <w:rsid w:val="00EF137B"/>
    <w:rsid w:val="00EF1C97"/>
    <w:rsid w:val="00EF2310"/>
    <w:rsid w:val="00EF236D"/>
    <w:rsid w:val="00EF2E8F"/>
    <w:rsid w:val="00EF4459"/>
    <w:rsid w:val="00EF4764"/>
    <w:rsid w:val="00EF50C7"/>
    <w:rsid w:val="00EF59F2"/>
    <w:rsid w:val="00EF63F4"/>
    <w:rsid w:val="00EF74E7"/>
    <w:rsid w:val="00F0018C"/>
    <w:rsid w:val="00F008A4"/>
    <w:rsid w:val="00F00AA8"/>
    <w:rsid w:val="00F0378D"/>
    <w:rsid w:val="00F042FC"/>
    <w:rsid w:val="00F04AE3"/>
    <w:rsid w:val="00F05EC5"/>
    <w:rsid w:val="00F0727C"/>
    <w:rsid w:val="00F07624"/>
    <w:rsid w:val="00F076F4"/>
    <w:rsid w:val="00F10B16"/>
    <w:rsid w:val="00F10DD3"/>
    <w:rsid w:val="00F110FB"/>
    <w:rsid w:val="00F113DE"/>
    <w:rsid w:val="00F11843"/>
    <w:rsid w:val="00F12001"/>
    <w:rsid w:val="00F12DAD"/>
    <w:rsid w:val="00F13247"/>
    <w:rsid w:val="00F1354D"/>
    <w:rsid w:val="00F136F7"/>
    <w:rsid w:val="00F13A74"/>
    <w:rsid w:val="00F13A95"/>
    <w:rsid w:val="00F1450A"/>
    <w:rsid w:val="00F145B3"/>
    <w:rsid w:val="00F15201"/>
    <w:rsid w:val="00F15345"/>
    <w:rsid w:val="00F153D3"/>
    <w:rsid w:val="00F16D8F"/>
    <w:rsid w:val="00F207D5"/>
    <w:rsid w:val="00F20A47"/>
    <w:rsid w:val="00F20F18"/>
    <w:rsid w:val="00F215A3"/>
    <w:rsid w:val="00F21EE5"/>
    <w:rsid w:val="00F236D4"/>
    <w:rsid w:val="00F23AF6"/>
    <w:rsid w:val="00F23C00"/>
    <w:rsid w:val="00F2401C"/>
    <w:rsid w:val="00F2465B"/>
    <w:rsid w:val="00F24FF7"/>
    <w:rsid w:val="00F2536F"/>
    <w:rsid w:val="00F254D3"/>
    <w:rsid w:val="00F25D98"/>
    <w:rsid w:val="00F261D9"/>
    <w:rsid w:val="00F2735C"/>
    <w:rsid w:val="00F300AE"/>
    <w:rsid w:val="00F300FB"/>
    <w:rsid w:val="00F30718"/>
    <w:rsid w:val="00F30963"/>
    <w:rsid w:val="00F30AC8"/>
    <w:rsid w:val="00F31C76"/>
    <w:rsid w:val="00F31C90"/>
    <w:rsid w:val="00F3237A"/>
    <w:rsid w:val="00F32FCA"/>
    <w:rsid w:val="00F340A7"/>
    <w:rsid w:val="00F340F4"/>
    <w:rsid w:val="00F34406"/>
    <w:rsid w:val="00F34408"/>
    <w:rsid w:val="00F360BC"/>
    <w:rsid w:val="00F3658D"/>
    <w:rsid w:val="00F36ECC"/>
    <w:rsid w:val="00F414C4"/>
    <w:rsid w:val="00F417A9"/>
    <w:rsid w:val="00F41F39"/>
    <w:rsid w:val="00F4279D"/>
    <w:rsid w:val="00F42BE7"/>
    <w:rsid w:val="00F42D81"/>
    <w:rsid w:val="00F438DD"/>
    <w:rsid w:val="00F43DE9"/>
    <w:rsid w:val="00F43E14"/>
    <w:rsid w:val="00F44146"/>
    <w:rsid w:val="00F44A58"/>
    <w:rsid w:val="00F45052"/>
    <w:rsid w:val="00F45F61"/>
    <w:rsid w:val="00F47153"/>
    <w:rsid w:val="00F475D5"/>
    <w:rsid w:val="00F476A5"/>
    <w:rsid w:val="00F47A89"/>
    <w:rsid w:val="00F50F2A"/>
    <w:rsid w:val="00F50FB2"/>
    <w:rsid w:val="00F51FE0"/>
    <w:rsid w:val="00F52ACA"/>
    <w:rsid w:val="00F53EBD"/>
    <w:rsid w:val="00F5423E"/>
    <w:rsid w:val="00F54EA6"/>
    <w:rsid w:val="00F550A2"/>
    <w:rsid w:val="00F55573"/>
    <w:rsid w:val="00F556B5"/>
    <w:rsid w:val="00F55AC0"/>
    <w:rsid w:val="00F561D7"/>
    <w:rsid w:val="00F563FF"/>
    <w:rsid w:val="00F56E19"/>
    <w:rsid w:val="00F57005"/>
    <w:rsid w:val="00F572AE"/>
    <w:rsid w:val="00F600FF"/>
    <w:rsid w:val="00F601F4"/>
    <w:rsid w:val="00F60553"/>
    <w:rsid w:val="00F6186E"/>
    <w:rsid w:val="00F61B0C"/>
    <w:rsid w:val="00F63694"/>
    <w:rsid w:val="00F63C33"/>
    <w:rsid w:val="00F646A7"/>
    <w:rsid w:val="00F648D6"/>
    <w:rsid w:val="00F64CB3"/>
    <w:rsid w:val="00F64EDF"/>
    <w:rsid w:val="00F66C4D"/>
    <w:rsid w:val="00F67AA6"/>
    <w:rsid w:val="00F7148A"/>
    <w:rsid w:val="00F717A0"/>
    <w:rsid w:val="00F72697"/>
    <w:rsid w:val="00F72F29"/>
    <w:rsid w:val="00F73D02"/>
    <w:rsid w:val="00F74657"/>
    <w:rsid w:val="00F74D36"/>
    <w:rsid w:val="00F74F5D"/>
    <w:rsid w:val="00F757E7"/>
    <w:rsid w:val="00F75BCF"/>
    <w:rsid w:val="00F75C77"/>
    <w:rsid w:val="00F767E5"/>
    <w:rsid w:val="00F7725B"/>
    <w:rsid w:val="00F77268"/>
    <w:rsid w:val="00F80276"/>
    <w:rsid w:val="00F80DBD"/>
    <w:rsid w:val="00F80F84"/>
    <w:rsid w:val="00F81236"/>
    <w:rsid w:val="00F812ED"/>
    <w:rsid w:val="00F81705"/>
    <w:rsid w:val="00F8184D"/>
    <w:rsid w:val="00F819EE"/>
    <w:rsid w:val="00F81BC1"/>
    <w:rsid w:val="00F824CF"/>
    <w:rsid w:val="00F8294A"/>
    <w:rsid w:val="00F834DD"/>
    <w:rsid w:val="00F838E8"/>
    <w:rsid w:val="00F84699"/>
    <w:rsid w:val="00F84C75"/>
    <w:rsid w:val="00F85471"/>
    <w:rsid w:val="00F858AF"/>
    <w:rsid w:val="00F86253"/>
    <w:rsid w:val="00F868E5"/>
    <w:rsid w:val="00F90095"/>
    <w:rsid w:val="00F9063E"/>
    <w:rsid w:val="00F90AD2"/>
    <w:rsid w:val="00F91A30"/>
    <w:rsid w:val="00F91E87"/>
    <w:rsid w:val="00F922C3"/>
    <w:rsid w:val="00F930E2"/>
    <w:rsid w:val="00F93519"/>
    <w:rsid w:val="00F937D6"/>
    <w:rsid w:val="00F942F0"/>
    <w:rsid w:val="00F94334"/>
    <w:rsid w:val="00F94728"/>
    <w:rsid w:val="00F9512C"/>
    <w:rsid w:val="00F95C12"/>
    <w:rsid w:val="00F96277"/>
    <w:rsid w:val="00F963F3"/>
    <w:rsid w:val="00F9672C"/>
    <w:rsid w:val="00F96A52"/>
    <w:rsid w:val="00F96B99"/>
    <w:rsid w:val="00F96EA0"/>
    <w:rsid w:val="00F97194"/>
    <w:rsid w:val="00F97BA3"/>
    <w:rsid w:val="00F97F91"/>
    <w:rsid w:val="00FA00B7"/>
    <w:rsid w:val="00FA1699"/>
    <w:rsid w:val="00FA1F2F"/>
    <w:rsid w:val="00FA1FA1"/>
    <w:rsid w:val="00FA2354"/>
    <w:rsid w:val="00FA24AC"/>
    <w:rsid w:val="00FA2A33"/>
    <w:rsid w:val="00FA4654"/>
    <w:rsid w:val="00FA5242"/>
    <w:rsid w:val="00FA62B3"/>
    <w:rsid w:val="00FA65A1"/>
    <w:rsid w:val="00FA69E5"/>
    <w:rsid w:val="00FA6E98"/>
    <w:rsid w:val="00FA77DF"/>
    <w:rsid w:val="00FA7DC8"/>
    <w:rsid w:val="00FA7EDC"/>
    <w:rsid w:val="00FB075F"/>
    <w:rsid w:val="00FB091E"/>
    <w:rsid w:val="00FB0EC4"/>
    <w:rsid w:val="00FB11EF"/>
    <w:rsid w:val="00FB1726"/>
    <w:rsid w:val="00FB1980"/>
    <w:rsid w:val="00FB1BB8"/>
    <w:rsid w:val="00FB1F07"/>
    <w:rsid w:val="00FB24EA"/>
    <w:rsid w:val="00FB2750"/>
    <w:rsid w:val="00FB2853"/>
    <w:rsid w:val="00FB2A94"/>
    <w:rsid w:val="00FB3515"/>
    <w:rsid w:val="00FB3854"/>
    <w:rsid w:val="00FB3D40"/>
    <w:rsid w:val="00FB3FF4"/>
    <w:rsid w:val="00FB48C4"/>
    <w:rsid w:val="00FB4E84"/>
    <w:rsid w:val="00FB575F"/>
    <w:rsid w:val="00FB5CBE"/>
    <w:rsid w:val="00FB5FB7"/>
    <w:rsid w:val="00FB5FD2"/>
    <w:rsid w:val="00FB7927"/>
    <w:rsid w:val="00FB7F73"/>
    <w:rsid w:val="00FC07B4"/>
    <w:rsid w:val="00FC09B6"/>
    <w:rsid w:val="00FC1BD0"/>
    <w:rsid w:val="00FC2155"/>
    <w:rsid w:val="00FC283B"/>
    <w:rsid w:val="00FC29D1"/>
    <w:rsid w:val="00FC3BDE"/>
    <w:rsid w:val="00FC3D8A"/>
    <w:rsid w:val="00FC46CF"/>
    <w:rsid w:val="00FC4959"/>
    <w:rsid w:val="00FC4A30"/>
    <w:rsid w:val="00FC4E0F"/>
    <w:rsid w:val="00FC4EA1"/>
    <w:rsid w:val="00FC4F55"/>
    <w:rsid w:val="00FC600B"/>
    <w:rsid w:val="00FC7619"/>
    <w:rsid w:val="00FC7A11"/>
    <w:rsid w:val="00FC7ABA"/>
    <w:rsid w:val="00FC7DE1"/>
    <w:rsid w:val="00FD09D6"/>
    <w:rsid w:val="00FD1171"/>
    <w:rsid w:val="00FD1CCA"/>
    <w:rsid w:val="00FD20AA"/>
    <w:rsid w:val="00FD2A85"/>
    <w:rsid w:val="00FD2EF1"/>
    <w:rsid w:val="00FD3380"/>
    <w:rsid w:val="00FD41F9"/>
    <w:rsid w:val="00FD46A2"/>
    <w:rsid w:val="00FD4B9C"/>
    <w:rsid w:val="00FD5CC9"/>
    <w:rsid w:val="00FD5EA3"/>
    <w:rsid w:val="00FD5ED4"/>
    <w:rsid w:val="00FD6753"/>
    <w:rsid w:val="00FE02EC"/>
    <w:rsid w:val="00FE0E78"/>
    <w:rsid w:val="00FE11C4"/>
    <w:rsid w:val="00FE174A"/>
    <w:rsid w:val="00FE197B"/>
    <w:rsid w:val="00FE2F93"/>
    <w:rsid w:val="00FE3C66"/>
    <w:rsid w:val="00FE4872"/>
    <w:rsid w:val="00FE49B8"/>
    <w:rsid w:val="00FE4FE3"/>
    <w:rsid w:val="00FE536E"/>
    <w:rsid w:val="00FE5420"/>
    <w:rsid w:val="00FE55FE"/>
    <w:rsid w:val="00FE5F82"/>
    <w:rsid w:val="00FE7A7B"/>
    <w:rsid w:val="00FE7D17"/>
    <w:rsid w:val="00FE7D91"/>
    <w:rsid w:val="00FF04F8"/>
    <w:rsid w:val="00FF1068"/>
    <w:rsid w:val="00FF11A3"/>
    <w:rsid w:val="00FF16B5"/>
    <w:rsid w:val="00FF2346"/>
    <w:rsid w:val="00FF3A7C"/>
    <w:rsid w:val="00FF3F40"/>
    <w:rsid w:val="00FF42BC"/>
    <w:rsid w:val="00FF4C65"/>
    <w:rsid w:val="00FF57DE"/>
    <w:rsid w:val="00FF5AE0"/>
    <w:rsid w:val="00FF5B0B"/>
    <w:rsid w:val="00FF63EF"/>
    <w:rsid w:val="00FF65A3"/>
    <w:rsid w:val="00FF6D3F"/>
    <w:rsid w:val="00FF738A"/>
    <w:rsid w:val="00FF7509"/>
    <w:rsid w:val="00FF7A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96D6233"/>
  <w15:chartTrackingRefBased/>
  <w15:docId w15:val="{7419577A-2217-4919-A92F-BD0847ECB43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52F"/>
    <w:pPr>
      <w:spacing w:after="9pt"/>
    </w:pPr>
    <w:rPr>
      <w:rFonts w:eastAsia="SimSun"/>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12pt" w:after="9pt"/>
      <w:outlineLvl w:val="0"/>
    </w:pPr>
    <w:rPr>
      <w:rFonts w:ascii="Arial" w:eastAsia="SimSun" w:hAnsi="Arial"/>
      <w:sz w:val="32"/>
      <w:lang w:eastAsia="en-US"/>
    </w:rPr>
  </w:style>
  <w:style w:type="paragraph" w:styleId="Heading2">
    <w:name w:val="heading 2"/>
    <w:basedOn w:val="Heading1"/>
    <w:next w:val="Normal"/>
    <w:link w:val="Heading2Char"/>
    <w:qFormat/>
    <w:rsid w:val="0061083C"/>
    <w:pPr>
      <w:numPr>
        <w:ilvl w:val="1"/>
      </w:numPr>
      <w:pBdr>
        <w:top w:val="none" w:sz="0" w:space="0" w:color="auto"/>
      </w:pBdr>
      <w:spacing w:before="9pt"/>
      <w:outlineLvl w:val="1"/>
    </w:pPr>
    <w:rPr>
      <w:sz w:val="28"/>
    </w:rPr>
  </w:style>
  <w:style w:type="paragraph" w:styleId="Heading3">
    <w:name w:val="heading 3"/>
    <w:aliases w:val="Underrubrik2,H3"/>
    <w:basedOn w:val="Heading2"/>
    <w:next w:val="Normal"/>
    <w:qFormat/>
    <w:rsid w:val="0061083C"/>
    <w:pPr>
      <w:numPr>
        <w:ilvl w:val="2"/>
      </w:numPr>
      <w:spacing w:before="6pt"/>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12pt"/>
      <w:ind w:start="0pt" w:firstLine="0p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sz w:val="20"/>
    </w:rPr>
  </w:style>
  <w:style w:type="paragraph" w:styleId="TOC8">
    <w:name w:val="toc 8"/>
    <w:basedOn w:val="TOC1"/>
    <w:semiHidden/>
    <w:pPr>
      <w:spacing w:after="0pt"/>
      <w:ind w:start="70pt"/>
    </w:pPr>
    <w:rPr>
      <w:b w:val="0"/>
      <w:bCs/>
    </w:rPr>
  </w:style>
  <w:style w:type="paragraph" w:styleId="TOC1">
    <w:name w:val="toc 1"/>
    <w:basedOn w:val="Proposal"/>
    <w:uiPriority w:val="39"/>
    <w:rsid w:val="00223223"/>
    <w:pPr>
      <w:numPr>
        <w:numId w:val="0"/>
      </w:numPr>
      <w:ind w:start="78pt" w:hanging="60pt"/>
    </w:pPr>
  </w:style>
  <w:style w:type="paragraph" w:customStyle="1" w:styleId="ZT">
    <w:name w:val="ZT"/>
    <w:pPr>
      <w:framePr w:wrap="notBeside" w:hAnchor="margin" w:yAlign="center"/>
      <w:widowControl w:val="0"/>
      <w:spacing w:line="12pt" w:lineRule="atLeast"/>
      <w:jc w:val="end"/>
    </w:pPr>
    <w:rPr>
      <w:rFonts w:ascii="Arial" w:hAnsi="Arial"/>
      <w:b/>
      <w:sz w:val="34"/>
      <w:lang w:eastAsia="en-US"/>
    </w:rPr>
  </w:style>
  <w:style w:type="paragraph" w:styleId="TOC5">
    <w:name w:val="toc 5"/>
    <w:basedOn w:val="TOC4"/>
    <w:semiHidden/>
    <w:pPr>
      <w:ind w:start="40pt"/>
    </w:pPr>
  </w:style>
  <w:style w:type="paragraph" w:styleId="TOC4">
    <w:name w:val="toc 4"/>
    <w:basedOn w:val="TOC3"/>
    <w:semiHidden/>
    <w:pPr>
      <w:ind w:start="30pt"/>
    </w:pPr>
  </w:style>
  <w:style w:type="paragraph" w:styleId="TOC3">
    <w:name w:val="toc 3"/>
    <w:basedOn w:val="TOC2"/>
    <w:semiHidden/>
    <w:pPr>
      <w:spacing w:before="0pt"/>
      <w:ind w:start="20pt"/>
    </w:pPr>
    <w:rPr>
      <w:i w:val="0"/>
      <w:iCs w:val="0"/>
    </w:rPr>
  </w:style>
  <w:style w:type="paragraph" w:styleId="TOC2">
    <w:name w:val="toc 2"/>
    <w:basedOn w:val="TOC1"/>
    <w:semiHidden/>
    <w:pPr>
      <w:spacing w:before="6pt" w:after="0pt"/>
      <w:ind w:start="10pt"/>
    </w:pPr>
    <w:rPr>
      <w:b w:val="0"/>
      <w:bCs/>
      <w:i/>
      <w:iCs/>
    </w:rPr>
  </w:style>
  <w:style w:type="paragraph" w:styleId="Index2">
    <w:name w:val="index 2"/>
    <w:basedOn w:val="Index1"/>
    <w:semiHidden/>
    <w:pPr>
      <w:ind w:start="14.20pt"/>
    </w:pPr>
  </w:style>
  <w:style w:type="paragraph" w:styleId="Index1">
    <w:name w:val="index 1"/>
    <w:basedOn w:val="Normal"/>
    <w:semiHidden/>
    <w:pPr>
      <w:keepLines/>
      <w:spacing w:after="0pt"/>
    </w:pPr>
  </w:style>
  <w:style w:type="paragraph" w:customStyle="1" w:styleId="ZH">
    <w:name w:val="ZH"/>
    <w:pPr>
      <w:framePr w:wrap="notBeside" w:vAnchor="page" w:hAnchor="margin" w:xAlign="center" w:y="340.25pt"/>
      <w:widowControl w:val="0"/>
    </w:pPr>
    <w:rPr>
      <w:rFonts w:ascii="Arial" w:hAnsi="Arial"/>
      <w:noProof/>
      <w:lang w:eastAsia="en-US"/>
    </w:rPr>
  </w:style>
  <w:style w:type="character" w:customStyle="1" w:styleId="Heading1Char">
    <w:name w:val="Heading 1 Char"/>
    <w:aliases w:val="H1 Char"/>
    <w:link w:val="Heading1"/>
    <w:rsid w:val="00326166"/>
    <w:rPr>
      <w:rFonts w:ascii="Arial" w:eastAsia="SimSun" w:hAnsi="Arial"/>
      <w:sz w:val="32"/>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start="35.20pt" w:hanging="21p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pt"/>
      <w:ind w:start="22.70pt" w:hanging="22.70pt"/>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pt"/>
    </w:pPr>
    <w:rPr>
      <w:rFonts w:ascii="Arial" w:hAnsi="Arial"/>
      <w:sz w:val="18"/>
    </w:rPr>
  </w:style>
  <w:style w:type="paragraph" w:customStyle="1" w:styleId="TF">
    <w:name w:val="TF"/>
    <w:basedOn w:val="TH"/>
    <w:link w:val="TFChar"/>
    <w:pPr>
      <w:keepNext w:val="0"/>
      <w:spacing w:before="0pt" w:after="12pt"/>
    </w:pPr>
  </w:style>
  <w:style w:type="paragraph" w:customStyle="1" w:styleId="TH">
    <w:name w:val="TH"/>
    <w:basedOn w:val="Normal"/>
    <w:link w:val="THChar"/>
    <w:qFormat/>
    <w:pPr>
      <w:keepNext/>
      <w:keepLines/>
      <w:spacing w:before="3pt"/>
      <w:jc w:val="center"/>
    </w:pPr>
    <w:rPr>
      <w:rFonts w:ascii="Arial" w:hAnsi="Arial"/>
      <w:b/>
    </w:rPr>
  </w:style>
  <w:style w:type="paragraph" w:customStyle="1" w:styleId="NO">
    <w:name w:val="NO"/>
    <w:basedOn w:val="Normal"/>
    <w:link w:val="NOChar"/>
    <w:pPr>
      <w:keepLines/>
      <w:ind w:start="56.75pt" w:hanging="42.55pt"/>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start="80pt"/>
    </w:pPr>
  </w:style>
  <w:style w:type="paragraph" w:customStyle="1" w:styleId="EX">
    <w:name w:val="EX"/>
    <w:basedOn w:val="Normal"/>
    <w:pPr>
      <w:keepLines/>
      <w:ind w:start="85.10pt" w:hanging="70.90pt"/>
    </w:pPr>
  </w:style>
  <w:style w:type="paragraph" w:customStyle="1" w:styleId="FP">
    <w:name w:val="FP"/>
    <w:basedOn w:val="Normal"/>
    <w:pPr>
      <w:spacing w:after="0pt"/>
    </w:pPr>
  </w:style>
  <w:style w:type="paragraph" w:customStyle="1" w:styleId="LD">
    <w:name w:val="LD"/>
    <w:pPr>
      <w:keepNext/>
      <w:keepLines/>
      <w:spacing w:line="9pt" w:lineRule="exact"/>
    </w:pPr>
    <w:rPr>
      <w:rFonts w:ascii="MS LineDraw" w:hAnsi="MS LineDraw"/>
      <w:noProof/>
      <w:lang w:eastAsia="en-US"/>
    </w:rPr>
  </w:style>
  <w:style w:type="paragraph" w:customStyle="1" w:styleId="NW">
    <w:name w:val="NW"/>
    <w:basedOn w:val="NO"/>
    <w:pPr>
      <w:spacing w:after="0pt"/>
    </w:pPr>
  </w:style>
  <w:style w:type="paragraph" w:customStyle="1" w:styleId="EW">
    <w:name w:val="EW"/>
    <w:basedOn w:val="EX"/>
    <w:pPr>
      <w:spacing w:after="0pt"/>
    </w:pPr>
  </w:style>
  <w:style w:type="paragraph" w:styleId="TOC6">
    <w:name w:val="toc 6"/>
    <w:basedOn w:val="TOC5"/>
    <w:next w:val="Normal"/>
    <w:semiHidden/>
    <w:pPr>
      <w:ind w:start="50pt"/>
    </w:pPr>
  </w:style>
  <w:style w:type="paragraph" w:styleId="TOC7">
    <w:name w:val="toc 7"/>
    <w:basedOn w:val="TOC6"/>
    <w:next w:val="Normal"/>
    <w:semiHidden/>
    <w:pPr>
      <w:ind w:start="60pt"/>
    </w:pPr>
  </w:style>
  <w:style w:type="paragraph" w:customStyle="1" w:styleId="20">
    <w:name w:val="编号2"/>
    <w:basedOn w:val="Normal"/>
    <w:rsid w:val="009D69DE"/>
    <w:pPr>
      <w:numPr>
        <w:numId w:val="8"/>
      </w:numPr>
      <w:tabs>
        <w:tab w:val="clear" w:pos="42pt"/>
        <w:tab w:val="num" w:pos="35.20pt"/>
      </w:tabs>
      <w:ind w:start="35.20pt" w:hanging="21pt"/>
    </w:pPr>
    <w:rPr>
      <w:lang w:eastAsia="zh-CN"/>
    </w:rPr>
  </w:style>
  <w:style w:type="paragraph" w:styleId="ListBullet">
    <w:name w:val="List Bullet"/>
    <w:basedOn w:val="List"/>
    <w:rsid w:val="00D8495E"/>
    <w:pPr>
      <w:ind w:start="0pt" w:firstLine="0pt"/>
    </w:pPr>
  </w:style>
  <w:style w:type="paragraph" w:customStyle="1" w:styleId="Reference">
    <w:name w:val="Reference"/>
    <w:basedOn w:val="Normal"/>
    <w:rsid w:val="00872C69"/>
    <w:pPr>
      <w:numPr>
        <w:numId w:val="9"/>
      </w:numPr>
      <w:overflowPunct w:val="0"/>
      <w:autoSpaceDE w:val="0"/>
      <w:autoSpaceDN w:val="0"/>
      <w:adjustRightInd w:val="0"/>
      <w:spacing w:after="6pt"/>
      <w:textAlignment w:val="baseline"/>
    </w:pPr>
    <w:rPr>
      <w:sz w:val="22"/>
      <w:lang w:eastAsia="zh-CN"/>
    </w:rPr>
  </w:style>
  <w:style w:type="paragraph" w:customStyle="1" w:styleId="EQ">
    <w:name w:val="EQ"/>
    <w:basedOn w:val="Normal"/>
    <w:next w:val="Normal"/>
    <w:pPr>
      <w:keepLines/>
      <w:tabs>
        <w:tab w:val="center" w:pos="226.80pt"/>
        <w:tab w:val="end" w:pos="453.60pt"/>
      </w:tabs>
    </w:pPr>
    <w:rPr>
      <w:noProof/>
    </w:rPr>
  </w:style>
  <w:style w:type="paragraph" w:customStyle="1" w:styleId="NF">
    <w:name w:val="NF"/>
    <w:basedOn w:val="NO"/>
    <w:pPr>
      <w:keepNext/>
      <w:spacing w:after="0pt"/>
    </w:pPr>
    <w:rPr>
      <w:rFonts w:ascii="Arial" w:hAnsi="Arial"/>
      <w:sz w:val="18"/>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eastAsia="SimSun" w:hAnsi="Courier New"/>
      <w:noProof/>
      <w:sz w:val="16"/>
      <w:lang w:eastAsia="en-US"/>
    </w:rPr>
  </w:style>
  <w:style w:type="paragraph" w:customStyle="1" w:styleId="TAR">
    <w:name w:val="TAR"/>
    <w:basedOn w:val="TAL"/>
    <w:pPr>
      <w:jc w:val="end"/>
    </w:pPr>
  </w:style>
  <w:style w:type="paragraph" w:customStyle="1" w:styleId="TAN">
    <w:name w:val="TAN"/>
    <w:basedOn w:val="TAL"/>
    <w:pPr>
      <w:ind w:start="42.55pt" w:hanging="42.55pt"/>
    </w:p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D">
    <w:name w:val="ZD"/>
    <w:pPr>
      <w:framePr w:wrap="notBeside" w:vAnchor="page" w:hAnchor="margin" w:y="788.20pt"/>
      <w:widowControl w:val="0"/>
    </w:pPr>
    <w:rPr>
      <w:rFonts w:ascii="Arial" w:hAnsi="Arial"/>
      <w:noProof/>
      <w:sz w:val="32"/>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ZV">
    <w:name w:val="ZV"/>
    <w:basedOn w:val="ZU"/>
    <w:pPr>
      <w:framePr w:wrap="notBeside" w:y="808.05pt"/>
    </w:pPr>
  </w:style>
  <w:style w:type="character" w:customStyle="1" w:styleId="ZGSM">
    <w:name w:val="ZGSM"/>
  </w:style>
  <w:style w:type="paragraph" w:styleId="List2">
    <w:name w:val="List 2"/>
    <w:basedOn w:val="List"/>
    <w:pPr>
      <w:ind w:start="42.55pt"/>
    </w:p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70.90pt"/>
        <w:tab w:val="num" w:pos="80pt"/>
      </w:tabs>
      <w:ind w:start="77.15pt"/>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uiPriority w:val="99"/>
  </w:style>
  <w:style w:type="paragraph" w:styleId="Footer">
    <w:name w:val="footer"/>
    <w:basedOn w:val="Header"/>
    <w:link w:val="FooterChar"/>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link w:val="CRCoverPageZchn"/>
    <w:pPr>
      <w:spacing w:after="6pt"/>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74.70pt"/>
      </w:tabs>
      <w:autoSpaceDE w:val="0"/>
      <w:autoSpaceDN w:val="0"/>
      <w:adjustRightInd w:val="0"/>
      <w:spacing w:before="3pt" w:after="3pt"/>
      <w:ind w:start="74.70pt" w:hanging="18pt"/>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pt"/>
      <w:textAlignment w:val="baseline"/>
    </w:pPr>
    <w:rPr>
      <w:rFonts w:ascii="Arial" w:hAnsi="Arial"/>
      <w:sz w:val="18"/>
    </w:rPr>
  </w:style>
  <w:style w:type="table" w:styleId="TableGrid">
    <w:name w:val="Table Grid"/>
    <w:basedOn w:val="TableNormal"/>
    <w:rsid w:val="00415963"/>
    <w:pPr>
      <w:spacing w:after="9pt"/>
    </w:pPr>
    <w:rPr>
      <w:rFonts w:ascii="CG Times (WN)" w:eastAsia="Batang" w:hAnsi="CG Times (W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2.50pt"/>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11pt"/>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pt"/>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241pt"/>
        <w:tab w:val="end" w:pos="482pt"/>
      </w:tabs>
    </w:pPr>
    <w:rPr>
      <w:lang w:val="en-US"/>
    </w:rPr>
  </w:style>
  <w:style w:type="paragraph" w:customStyle="1" w:styleId="CharCharChar">
    <w:name w:val="Char Char Char"/>
    <w:basedOn w:val="Normal"/>
    <w:semiHidden/>
    <w:rsid w:val="008525BE"/>
    <w:pPr>
      <w:spacing w:after="8pt" w:line="12pt"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6pt" w:after="6pt"/>
      <w:textAlignment w:val="baseline"/>
    </w:pPr>
    <w:rPr>
      <w:b/>
      <w:lang w:val="en-US"/>
    </w:rPr>
  </w:style>
  <w:style w:type="paragraph" w:customStyle="1" w:styleId="memoheader">
    <w:name w:val="memo header"/>
    <w:aliases w:val="mh"/>
    <w:basedOn w:val="Normal"/>
    <w:rsid w:val="00DE274C"/>
    <w:pPr>
      <w:tabs>
        <w:tab w:val="end" w:pos="54pt"/>
        <w:tab w:val="start" w:pos="81pt"/>
      </w:tabs>
      <w:spacing w:before="2pt" w:after="0pt" w:line="18pt" w:lineRule="atLeast"/>
      <w:ind w:start="81pt" w:hanging="81pt"/>
      <w:jc w:val="both"/>
    </w:pPr>
    <w:rPr>
      <w:rFonts w:ascii="Helvetica" w:hAnsi="Helvetica"/>
      <w:b/>
      <w:smallCaps/>
      <w:sz w:val="24"/>
      <w:lang w:val="en-US"/>
    </w:rPr>
  </w:style>
  <w:style w:type="paragraph" w:customStyle="1" w:styleId="B1">
    <w:name w:val="B1"/>
    <w:basedOn w:val="List"/>
    <w:link w:val="B1Char1"/>
    <w:qFormat/>
    <w:rsid w:val="00956F3A"/>
    <w:pPr>
      <w:ind w:start="28.40pt" w:hanging="14.20pt"/>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3pt" w:after="3pt"/>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3pt" w:after="3pt"/>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eastAsia="en-US"/>
    </w:rPr>
  </w:style>
  <w:style w:type="paragraph" w:customStyle="1" w:styleId="CharChar1CharCharCharChar1CharCharCharChar">
    <w:name w:val="Char Char1 Char Char Char Char1 Char Char Char Char"/>
    <w:basedOn w:val="Normal"/>
    <w:rsid w:val="006418C7"/>
    <w:pPr>
      <w:widowControl w:val="0"/>
      <w:spacing w:after="0pt"/>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pt" w:line="21.80pt" w:lineRule="exact"/>
      <w:ind w:start="17.85pt"/>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val="en-US"/>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start" w:pos="78pt"/>
      </w:tabs>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24pt" w:after="0pt" w:line="13.80pt"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eastAsia="en-US"/>
    </w:rPr>
  </w:style>
  <w:style w:type="paragraph" w:customStyle="1" w:styleId="Proposallist">
    <w:name w:val="Proposal list"/>
    <w:basedOn w:val="Proposal"/>
    <w:link w:val="ProposallistChar"/>
    <w:qFormat/>
    <w:rsid w:val="00850DCF"/>
    <w:pPr>
      <w:numPr>
        <w:numId w:val="0"/>
      </w:numPr>
      <w:ind w:start="78pt" w:hanging="56.70pt"/>
    </w:p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B0904"/>
    <w:pPr>
      <w:spacing w:after="0pt"/>
      <w:ind w:start="36pt"/>
    </w:pPr>
    <w:rPr>
      <w:rFonts w:ascii="Calibri" w:hAnsi="Calibri" w:cs="Calibri"/>
      <w:sz w:val="22"/>
      <w:szCs w:val="22"/>
      <w:lang w:val="en-US" w:eastAsia="zh-CN"/>
    </w:rPr>
  </w:style>
  <w:style w:type="character" w:customStyle="1" w:styleId="ProposallistChar">
    <w:name w:val="Proposal list Char"/>
    <w:basedOn w:val="ProposalChar"/>
    <w:link w:val="Proposallist"/>
    <w:rsid w:val="00850DCF"/>
    <w:rPr>
      <w:rFonts w:eastAsia="SimSun"/>
      <w:b/>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DB0904"/>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B0904"/>
    <w:rPr>
      <w:rFonts w:eastAsia="SimSun"/>
      <w:lang w:val="en-GB" w:eastAsia="en-GB" w:bidi="ar-SA"/>
    </w:rPr>
  </w:style>
  <w:style w:type="paragraph" w:customStyle="1" w:styleId="Doc-title">
    <w:name w:val="Doc-title"/>
    <w:basedOn w:val="Normal"/>
    <w:next w:val="Normal"/>
    <w:link w:val="Doc-titleChar"/>
    <w:qFormat/>
    <w:rsid w:val="00DB0904"/>
    <w:pPr>
      <w:spacing w:before="3pt" w:after="0pt"/>
      <w:ind w:start="62.95pt" w:hanging="62.95pt"/>
    </w:pPr>
    <w:rPr>
      <w:rFonts w:ascii="Arial" w:eastAsia="MS Mincho" w:hAnsi="Arial"/>
      <w:noProof/>
      <w:szCs w:val="24"/>
      <w:lang w:eastAsia="en-GB"/>
    </w:rPr>
  </w:style>
  <w:style w:type="character" w:customStyle="1" w:styleId="Doc-titleChar">
    <w:name w:val="Doc-title Char"/>
    <w:link w:val="Doc-title"/>
    <w:qFormat/>
    <w:rsid w:val="00DB0904"/>
    <w:rPr>
      <w:rFonts w:ascii="Arial" w:hAnsi="Arial"/>
      <w:noProof/>
      <w:szCs w:val="24"/>
      <w:lang w:val="en-GB" w:eastAsia="en-GB"/>
    </w:rPr>
  </w:style>
  <w:style w:type="character" w:customStyle="1" w:styleId="CRCoverPageZchn">
    <w:name w:val="CR Cover Page Zchn"/>
    <w:link w:val="CRCoverPage"/>
    <w:rsid w:val="00B5059B"/>
    <w:rPr>
      <w:rFonts w:ascii="Arial" w:hAnsi="Arial"/>
      <w:lang w:val="en-GB" w:eastAsia="en-US" w:bidi="ar-SA"/>
    </w:rPr>
  </w:style>
  <w:style w:type="paragraph" w:customStyle="1" w:styleId="Observation">
    <w:name w:val="Observation"/>
    <w:basedOn w:val="Proposal"/>
    <w:qFormat/>
    <w:rsid w:val="000F0E5C"/>
    <w:pPr>
      <w:numPr>
        <w:numId w:val="11"/>
      </w:numPr>
      <w:tabs>
        <w:tab w:val="clear" w:pos="78pt"/>
        <w:tab w:val="start" w:pos="85.05pt"/>
      </w:tabs>
      <w:overflowPunct w:val="0"/>
      <w:autoSpaceDE w:val="0"/>
      <w:autoSpaceDN w:val="0"/>
      <w:adjustRightInd w:val="0"/>
      <w:spacing w:after="6pt"/>
      <w:jc w:val="both"/>
      <w:textAlignment w:val="baseline"/>
    </w:pPr>
    <w:rPr>
      <w:rFonts w:ascii="Arial" w:hAnsi="Arial"/>
      <w:bCs/>
      <w:lang w:eastAsia="zh-CN"/>
    </w:rPr>
  </w:style>
  <w:style w:type="paragraph" w:customStyle="1" w:styleId="Doc-text2">
    <w:name w:val="Doc-text2"/>
    <w:basedOn w:val="Normal"/>
    <w:link w:val="Doc-text2Char"/>
    <w:qFormat/>
    <w:rsid w:val="00A8138A"/>
    <w:pPr>
      <w:tabs>
        <w:tab w:val="start" w:pos="81.10pt"/>
      </w:tabs>
      <w:spacing w:after="0pt"/>
      <w:ind w:start="81.10pt" w:hanging="18.15pt"/>
    </w:pPr>
    <w:rPr>
      <w:rFonts w:ascii="Arial" w:eastAsia="MS Mincho" w:hAnsi="Arial"/>
      <w:szCs w:val="24"/>
      <w:lang w:eastAsia="en-GB"/>
    </w:rPr>
  </w:style>
  <w:style w:type="character" w:customStyle="1" w:styleId="Doc-text2Char">
    <w:name w:val="Doc-text2 Char"/>
    <w:link w:val="Doc-text2"/>
    <w:qFormat/>
    <w:rsid w:val="00A8138A"/>
    <w:rPr>
      <w:rFonts w:ascii="Arial" w:hAnsi="Arial"/>
      <w:szCs w:val="24"/>
      <w:lang w:val="en-GB" w:eastAsia="en-GB"/>
    </w:rPr>
  </w:style>
  <w:style w:type="character" w:customStyle="1" w:styleId="B1Char">
    <w:name w:val="B1 Char"/>
    <w:rsid w:val="001B6FD4"/>
    <w:rPr>
      <w:rFonts w:eastAsia="MS Mincho"/>
      <w:lang w:val="en-GB" w:eastAsia="en-US" w:bidi="ar-SA"/>
    </w:rPr>
  </w:style>
  <w:style w:type="character" w:customStyle="1" w:styleId="TFChar">
    <w:name w:val="TF Char"/>
    <w:link w:val="TF"/>
    <w:rsid w:val="001B6FD4"/>
    <w:rPr>
      <w:rFonts w:ascii="Arial" w:eastAsia="SimSun" w:hAnsi="Arial"/>
      <w:b/>
      <w:lang w:val="en-GB"/>
    </w:rPr>
  </w:style>
  <w:style w:type="paragraph" w:customStyle="1" w:styleId="B2">
    <w:name w:val="B2"/>
    <w:basedOn w:val="Normal"/>
    <w:link w:val="B2Char"/>
    <w:rsid w:val="008D5AF8"/>
    <w:pPr>
      <w:ind w:start="42.55pt" w:hanging="14.20pt"/>
    </w:pPr>
    <w:rPr>
      <w:rFonts w:eastAsia="Malgun Gothic"/>
    </w:rPr>
  </w:style>
  <w:style w:type="paragraph" w:customStyle="1" w:styleId="B3">
    <w:name w:val="B3"/>
    <w:basedOn w:val="Normal"/>
    <w:link w:val="B3Char"/>
    <w:rsid w:val="008D5AF8"/>
    <w:pPr>
      <w:ind w:start="56.75pt" w:hanging="14.20pt"/>
    </w:pPr>
    <w:rPr>
      <w:rFonts w:eastAsia="Malgun Gothic"/>
    </w:rPr>
  </w:style>
  <w:style w:type="paragraph" w:customStyle="1" w:styleId="Guidance">
    <w:name w:val="Guidance"/>
    <w:basedOn w:val="Normal"/>
    <w:rsid w:val="008D5AF8"/>
    <w:rPr>
      <w:rFonts w:eastAsia="Malgun Gothic"/>
      <w:i/>
      <w:color w:val="0000FF"/>
    </w:rPr>
  </w:style>
  <w:style w:type="character" w:customStyle="1" w:styleId="B2Char">
    <w:name w:val="B2 Char"/>
    <w:link w:val="B2"/>
    <w:rsid w:val="008D5AF8"/>
    <w:rPr>
      <w:rFonts w:eastAsia="Malgun Gothic"/>
      <w:lang w:eastAsia="en-US"/>
    </w:rPr>
  </w:style>
  <w:style w:type="character" w:customStyle="1" w:styleId="B3Char">
    <w:name w:val="B3 Char"/>
    <w:link w:val="B3"/>
    <w:rsid w:val="008D5AF8"/>
    <w:rPr>
      <w:rFonts w:eastAsia="Malgun Gothic"/>
      <w:lang w:eastAsia="en-US"/>
    </w:rPr>
  </w:style>
  <w:style w:type="character" w:customStyle="1" w:styleId="FooterChar">
    <w:name w:val="Footer Char"/>
    <w:link w:val="Footer"/>
    <w:rsid w:val="008A241C"/>
    <w:rPr>
      <w:rFonts w:ascii="Arial" w:hAnsi="Arial"/>
      <w:b/>
      <w:i/>
      <w:noProof/>
      <w:sz w:val="18"/>
      <w:lang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BA0D94"/>
    <w:rPr>
      <w:rFonts w:ascii="Calibri" w:eastAsia="SimSun" w:hAnsi="Calibri" w:cs="Calibri"/>
      <w:sz w:val="22"/>
      <w:szCs w:val="22"/>
      <w:lang w:val="en-US" w:eastAsia="zh-CN"/>
    </w:rPr>
  </w:style>
  <w:style w:type="paragraph" w:customStyle="1" w:styleId="Agreement">
    <w:name w:val="Agreement"/>
    <w:basedOn w:val="Normal"/>
    <w:next w:val="Doc-text2"/>
    <w:uiPriority w:val="99"/>
    <w:qFormat/>
    <w:rsid w:val="00483046"/>
    <w:pPr>
      <w:numPr>
        <w:numId w:val="12"/>
      </w:numPr>
      <w:spacing w:before="3pt" w:after="0pt"/>
    </w:pPr>
    <w:rPr>
      <w:rFonts w:ascii="Arial" w:eastAsia="MS Mincho" w:hAnsi="Arial"/>
      <w:b/>
      <w:szCs w:val="24"/>
      <w:lang w:eastAsia="en-GB"/>
    </w:rPr>
  </w:style>
  <w:style w:type="character" w:customStyle="1" w:styleId="CommentTextChar">
    <w:name w:val="Comment Text Char"/>
    <w:link w:val="CommentText"/>
    <w:uiPriority w:val="99"/>
    <w:rsid w:val="007D45F4"/>
    <w:rPr>
      <w:rFonts w:eastAsia="SimSun"/>
      <w:lang w:eastAsia="en-US"/>
    </w:rPr>
  </w:style>
  <w:style w:type="paragraph" w:styleId="NormalWeb">
    <w:name w:val="Normal (Web)"/>
    <w:basedOn w:val="Normal"/>
    <w:uiPriority w:val="99"/>
    <w:unhideWhenUsed/>
    <w:rsid w:val="00096954"/>
    <w:pPr>
      <w:spacing w:before="5pt" w:beforeAutospacing="1" w:after="5pt" w:afterAutospacing="1"/>
    </w:pPr>
    <w:rPr>
      <w:rFonts w:eastAsia="Times New Roman"/>
      <w:sz w:val="24"/>
      <w:szCs w:val="24"/>
      <w:lang w:eastAsia="en-GB"/>
    </w:rPr>
  </w:style>
  <w:style w:type="paragraph" w:customStyle="1" w:styleId="done">
    <w:name w:val="done"/>
    <w:basedOn w:val="Normal"/>
    <w:rsid w:val="00261E1B"/>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8pt"/>
        <w:tab w:val="start" w:pos="92.15pt"/>
      </w:tabs>
      <w:spacing w:before="3pt" w:after="3pt"/>
      <w:ind w:start="17pt" w:hanging="17pt"/>
      <w:jc w:val="both"/>
    </w:pPr>
    <w:rPr>
      <w:rFonts w:ascii="Arial" w:hAnsi="Arial"/>
      <w:b/>
      <w:color w:val="008000"/>
    </w:rPr>
  </w:style>
  <w:style w:type="character" w:customStyle="1" w:styleId="EmailDiscussionChar">
    <w:name w:val="EmailDiscussion Char"/>
    <w:link w:val="EmailDiscussion"/>
    <w:locked/>
    <w:rsid w:val="002C6C73"/>
    <w:rPr>
      <w:rFonts w:ascii="Arial" w:eastAsia="SimSun" w:hAnsi="Arial" w:cs="Arial"/>
      <w:b/>
      <w:bCs/>
      <w:lang w:val="en-US" w:eastAsia="zh-CN"/>
    </w:rPr>
  </w:style>
  <w:style w:type="paragraph" w:customStyle="1" w:styleId="EmailDiscussion">
    <w:name w:val="EmailDiscussion"/>
    <w:basedOn w:val="Normal"/>
    <w:link w:val="EmailDiscussionChar"/>
    <w:rsid w:val="002C6C73"/>
    <w:pPr>
      <w:numPr>
        <w:numId w:val="14"/>
      </w:numPr>
      <w:spacing w:before="2pt" w:after="0pt"/>
    </w:pPr>
    <w:rPr>
      <w:rFonts w:ascii="Arial" w:hAnsi="Arial" w:cs="Arial"/>
      <w:b/>
      <w:bCs/>
      <w:lang w:val="en-US" w:eastAsia="zh-CN"/>
    </w:rPr>
  </w:style>
  <w:style w:type="character" w:customStyle="1" w:styleId="TAHCar">
    <w:name w:val="TAH Car"/>
    <w:link w:val="TAH"/>
    <w:qFormat/>
    <w:locked/>
    <w:rsid w:val="00894B14"/>
    <w:rPr>
      <w:rFonts w:ascii="Arial" w:eastAsia="SimSun" w:hAnsi="Arial"/>
      <w:b/>
      <w:sz w:val="18"/>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2418575">
      <w:bodyDiv w:val="1"/>
      <w:marLeft w:val="0pt"/>
      <w:marRight w:val="0pt"/>
      <w:marTop w:val="0pt"/>
      <w:marBottom w:val="0pt"/>
      <w:divBdr>
        <w:top w:val="none" w:sz="0" w:space="0" w:color="auto"/>
        <w:left w:val="none" w:sz="0" w:space="0" w:color="auto"/>
        <w:bottom w:val="none" w:sz="0" w:space="0" w:color="auto"/>
        <w:right w:val="none" w:sz="0" w:space="0" w:color="auto"/>
      </w:divBdr>
    </w:div>
    <w:div w:id="48846464">
      <w:bodyDiv w:val="1"/>
      <w:marLeft w:val="0pt"/>
      <w:marRight w:val="0pt"/>
      <w:marTop w:val="0pt"/>
      <w:marBottom w:val="0pt"/>
      <w:divBdr>
        <w:top w:val="none" w:sz="0" w:space="0" w:color="auto"/>
        <w:left w:val="none" w:sz="0" w:space="0" w:color="auto"/>
        <w:bottom w:val="none" w:sz="0" w:space="0" w:color="auto"/>
        <w:right w:val="none" w:sz="0" w:space="0" w:color="auto"/>
      </w:divBdr>
    </w:div>
    <w:div w:id="89008872">
      <w:bodyDiv w:val="1"/>
      <w:marLeft w:val="0pt"/>
      <w:marRight w:val="0pt"/>
      <w:marTop w:val="0pt"/>
      <w:marBottom w:val="0pt"/>
      <w:divBdr>
        <w:top w:val="none" w:sz="0" w:space="0" w:color="auto"/>
        <w:left w:val="none" w:sz="0" w:space="0" w:color="auto"/>
        <w:bottom w:val="none" w:sz="0" w:space="0" w:color="auto"/>
        <w:right w:val="none" w:sz="0" w:space="0" w:color="auto"/>
      </w:divBdr>
    </w:div>
    <w:div w:id="112749634">
      <w:bodyDiv w:val="1"/>
      <w:marLeft w:val="0pt"/>
      <w:marRight w:val="0pt"/>
      <w:marTop w:val="0pt"/>
      <w:marBottom w:val="0pt"/>
      <w:divBdr>
        <w:top w:val="none" w:sz="0" w:space="0" w:color="auto"/>
        <w:left w:val="none" w:sz="0" w:space="0" w:color="auto"/>
        <w:bottom w:val="none" w:sz="0" w:space="0" w:color="auto"/>
        <w:right w:val="none" w:sz="0" w:space="0" w:color="auto"/>
      </w:divBdr>
    </w:div>
    <w:div w:id="121845865">
      <w:bodyDiv w:val="1"/>
      <w:marLeft w:val="0pt"/>
      <w:marRight w:val="0pt"/>
      <w:marTop w:val="0pt"/>
      <w:marBottom w:val="0pt"/>
      <w:divBdr>
        <w:top w:val="none" w:sz="0" w:space="0" w:color="auto"/>
        <w:left w:val="none" w:sz="0" w:space="0" w:color="auto"/>
        <w:bottom w:val="none" w:sz="0" w:space="0" w:color="auto"/>
        <w:right w:val="none" w:sz="0" w:space="0" w:color="auto"/>
      </w:divBdr>
    </w:div>
    <w:div w:id="123425604">
      <w:bodyDiv w:val="1"/>
      <w:marLeft w:val="0pt"/>
      <w:marRight w:val="0pt"/>
      <w:marTop w:val="0pt"/>
      <w:marBottom w:val="0pt"/>
      <w:divBdr>
        <w:top w:val="none" w:sz="0" w:space="0" w:color="auto"/>
        <w:left w:val="none" w:sz="0" w:space="0" w:color="auto"/>
        <w:bottom w:val="none" w:sz="0" w:space="0" w:color="auto"/>
        <w:right w:val="none" w:sz="0" w:space="0" w:color="auto"/>
      </w:divBdr>
    </w:div>
    <w:div w:id="129137027">
      <w:bodyDiv w:val="1"/>
      <w:marLeft w:val="0pt"/>
      <w:marRight w:val="0pt"/>
      <w:marTop w:val="0pt"/>
      <w:marBottom w:val="0pt"/>
      <w:divBdr>
        <w:top w:val="none" w:sz="0" w:space="0" w:color="auto"/>
        <w:left w:val="none" w:sz="0" w:space="0" w:color="auto"/>
        <w:bottom w:val="none" w:sz="0" w:space="0" w:color="auto"/>
        <w:right w:val="none" w:sz="0" w:space="0" w:color="auto"/>
      </w:divBdr>
    </w:div>
    <w:div w:id="139663457">
      <w:bodyDiv w:val="1"/>
      <w:marLeft w:val="0pt"/>
      <w:marRight w:val="0pt"/>
      <w:marTop w:val="0pt"/>
      <w:marBottom w:val="0pt"/>
      <w:divBdr>
        <w:top w:val="none" w:sz="0" w:space="0" w:color="auto"/>
        <w:left w:val="none" w:sz="0" w:space="0" w:color="auto"/>
        <w:bottom w:val="none" w:sz="0" w:space="0" w:color="auto"/>
        <w:right w:val="none" w:sz="0" w:space="0" w:color="auto"/>
      </w:divBdr>
    </w:div>
    <w:div w:id="207450431">
      <w:bodyDiv w:val="1"/>
      <w:marLeft w:val="0pt"/>
      <w:marRight w:val="0pt"/>
      <w:marTop w:val="0pt"/>
      <w:marBottom w:val="0pt"/>
      <w:divBdr>
        <w:top w:val="none" w:sz="0" w:space="0" w:color="auto"/>
        <w:left w:val="none" w:sz="0" w:space="0" w:color="auto"/>
        <w:bottom w:val="none" w:sz="0" w:space="0" w:color="auto"/>
        <w:right w:val="none" w:sz="0" w:space="0" w:color="auto"/>
      </w:divBdr>
    </w:div>
    <w:div w:id="260068368">
      <w:bodyDiv w:val="1"/>
      <w:marLeft w:val="0pt"/>
      <w:marRight w:val="0pt"/>
      <w:marTop w:val="0pt"/>
      <w:marBottom w:val="0pt"/>
      <w:divBdr>
        <w:top w:val="none" w:sz="0" w:space="0" w:color="auto"/>
        <w:left w:val="none" w:sz="0" w:space="0" w:color="auto"/>
        <w:bottom w:val="none" w:sz="0" w:space="0" w:color="auto"/>
        <w:right w:val="none" w:sz="0" w:space="0" w:color="auto"/>
      </w:divBdr>
    </w:div>
    <w:div w:id="262500977">
      <w:bodyDiv w:val="1"/>
      <w:marLeft w:val="0pt"/>
      <w:marRight w:val="0pt"/>
      <w:marTop w:val="0pt"/>
      <w:marBottom w:val="0pt"/>
      <w:divBdr>
        <w:top w:val="none" w:sz="0" w:space="0" w:color="auto"/>
        <w:left w:val="none" w:sz="0" w:space="0" w:color="auto"/>
        <w:bottom w:val="none" w:sz="0" w:space="0" w:color="auto"/>
        <w:right w:val="none" w:sz="0" w:space="0" w:color="auto"/>
      </w:divBdr>
    </w:div>
    <w:div w:id="274101641">
      <w:bodyDiv w:val="1"/>
      <w:marLeft w:val="0pt"/>
      <w:marRight w:val="0pt"/>
      <w:marTop w:val="0pt"/>
      <w:marBottom w:val="0pt"/>
      <w:divBdr>
        <w:top w:val="none" w:sz="0" w:space="0" w:color="auto"/>
        <w:left w:val="none" w:sz="0" w:space="0" w:color="auto"/>
        <w:bottom w:val="none" w:sz="0" w:space="0" w:color="auto"/>
        <w:right w:val="none" w:sz="0" w:space="0" w:color="auto"/>
      </w:divBdr>
    </w:div>
    <w:div w:id="296377054">
      <w:bodyDiv w:val="1"/>
      <w:marLeft w:val="0pt"/>
      <w:marRight w:val="0pt"/>
      <w:marTop w:val="0pt"/>
      <w:marBottom w:val="0pt"/>
      <w:divBdr>
        <w:top w:val="none" w:sz="0" w:space="0" w:color="auto"/>
        <w:left w:val="none" w:sz="0" w:space="0" w:color="auto"/>
        <w:bottom w:val="none" w:sz="0" w:space="0" w:color="auto"/>
        <w:right w:val="none" w:sz="0" w:space="0" w:color="auto"/>
      </w:divBdr>
    </w:div>
    <w:div w:id="297497612">
      <w:bodyDiv w:val="1"/>
      <w:marLeft w:val="0pt"/>
      <w:marRight w:val="0pt"/>
      <w:marTop w:val="0pt"/>
      <w:marBottom w:val="0pt"/>
      <w:divBdr>
        <w:top w:val="none" w:sz="0" w:space="0" w:color="auto"/>
        <w:left w:val="none" w:sz="0" w:space="0" w:color="auto"/>
        <w:bottom w:val="none" w:sz="0" w:space="0" w:color="auto"/>
        <w:right w:val="none" w:sz="0" w:space="0" w:color="auto"/>
      </w:divBdr>
    </w:div>
    <w:div w:id="313991653">
      <w:bodyDiv w:val="1"/>
      <w:marLeft w:val="0pt"/>
      <w:marRight w:val="0pt"/>
      <w:marTop w:val="0pt"/>
      <w:marBottom w:val="0pt"/>
      <w:divBdr>
        <w:top w:val="none" w:sz="0" w:space="0" w:color="auto"/>
        <w:left w:val="none" w:sz="0" w:space="0" w:color="auto"/>
        <w:bottom w:val="none" w:sz="0" w:space="0" w:color="auto"/>
        <w:right w:val="none" w:sz="0" w:space="0" w:color="auto"/>
      </w:divBdr>
    </w:div>
    <w:div w:id="345133542">
      <w:bodyDiv w:val="1"/>
      <w:marLeft w:val="0pt"/>
      <w:marRight w:val="0pt"/>
      <w:marTop w:val="0pt"/>
      <w:marBottom w:val="0pt"/>
      <w:divBdr>
        <w:top w:val="none" w:sz="0" w:space="0" w:color="auto"/>
        <w:left w:val="none" w:sz="0" w:space="0" w:color="auto"/>
        <w:bottom w:val="none" w:sz="0" w:space="0" w:color="auto"/>
        <w:right w:val="none" w:sz="0" w:space="0" w:color="auto"/>
      </w:divBdr>
    </w:div>
    <w:div w:id="356808075">
      <w:bodyDiv w:val="1"/>
      <w:marLeft w:val="0pt"/>
      <w:marRight w:val="0pt"/>
      <w:marTop w:val="0pt"/>
      <w:marBottom w:val="0pt"/>
      <w:divBdr>
        <w:top w:val="none" w:sz="0" w:space="0" w:color="auto"/>
        <w:left w:val="none" w:sz="0" w:space="0" w:color="auto"/>
        <w:bottom w:val="none" w:sz="0" w:space="0" w:color="auto"/>
        <w:right w:val="none" w:sz="0" w:space="0" w:color="auto"/>
      </w:divBdr>
    </w:div>
    <w:div w:id="3740875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296194">
          <w:marLeft w:val="120.25pt"/>
          <w:marRight w:val="0pt"/>
          <w:marTop w:val="0pt"/>
          <w:marBottom w:val="0pt"/>
          <w:divBdr>
            <w:top w:val="none" w:sz="0" w:space="0" w:color="auto"/>
            <w:left w:val="none" w:sz="0" w:space="0" w:color="auto"/>
            <w:bottom w:val="none" w:sz="0" w:space="0" w:color="auto"/>
            <w:right w:val="none" w:sz="0" w:space="0" w:color="auto"/>
          </w:divBdr>
        </w:div>
      </w:divsChild>
    </w:div>
    <w:div w:id="375398374">
      <w:bodyDiv w:val="1"/>
      <w:marLeft w:val="0pt"/>
      <w:marRight w:val="0pt"/>
      <w:marTop w:val="0pt"/>
      <w:marBottom w:val="0pt"/>
      <w:divBdr>
        <w:top w:val="none" w:sz="0" w:space="0" w:color="auto"/>
        <w:left w:val="none" w:sz="0" w:space="0" w:color="auto"/>
        <w:bottom w:val="none" w:sz="0" w:space="0" w:color="auto"/>
        <w:right w:val="none" w:sz="0" w:space="0" w:color="auto"/>
      </w:divBdr>
    </w:div>
    <w:div w:id="377051326">
      <w:bodyDiv w:val="1"/>
      <w:marLeft w:val="0pt"/>
      <w:marRight w:val="0pt"/>
      <w:marTop w:val="0pt"/>
      <w:marBottom w:val="0pt"/>
      <w:divBdr>
        <w:top w:val="none" w:sz="0" w:space="0" w:color="auto"/>
        <w:left w:val="none" w:sz="0" w:space="0" w:color="auto"/>
        <w:bottom w:val="none" w:sz="0" w:space="0" w:color="auto"/>
        <w:right w:val="none" w:sz="0" w:space="0" w:color="auto"/>
      </w:divBdr>
    </w:div>
    <w:div w:id="408503457">
      <w:bodyDiv w:val="1"/>
      <w:marLeft w:val="0pt"/>
      <w:marRight w:val="0pt"/>
      <w:marTop w:val="0pt"/>
      <w:marBottom w:val="0pt"/>
      <w:divBdr>
        <w:top w:val="none" w:sz="0" w:space="0" w:color="auto"/>
        <w:left w:val="none" w:sz="0" w:space="0" w:color="auto"/>
        <w:bottom w:val="none" w:sz="0" w:space="0" w:color="auto"/>
        <w:right w:val="none" w:sz="0" w:space="0" w:color="auto"/>
      </w:divBdr>
    </w:div>
    <w:div w:id="408698135">
      <w:bodyDiv w:val="1"/>
      <w:marLeft w:val="0pt"/>
      <w:marRight w:val="0pt"/>
      <w:marTop w:val="0pt"/>
      <w:marBottom w:val="0pt"/>
      <w:divBdr>
        <w:top w:val="none" w:sz="0" w:space="0" w:color="auto"/>
        <w:left w:val="none" w:sz="0" w:space="0" w:color="auto"/>
        <w:bottom w:val="none" w:sz="0" w:space="0" w:color="auto"/>
        <w:right w:val="none" w:sz="0" w:space="0" w:color="auto"/>
      </w:divBdr>
    </w:div>
    <w:div w:id="446659307">
      <w:bodyDiv w:val="1"/>
      <w:marLeft w:val="0pt"/>
      <w:marRight w:val="0pt"/>
      <w:marTop w:val="0pt"/>
      <w:marBottom w:val="0pt"/>
      <w:divBdr>
        <w:top w:val="none" w:sz="0" w:space="0" w:color="auto"/>
        <w:left w:val="none" w:sz="0" w:space="0" w:color="auto"/>
        <w:bottom w:val="none" w:sz="0" w:space="0" w:color="auto"/>
        <w:right w:val="none" w:sz="0" w:space="0" w:color="auto"/>
      </w:divBdr>
    </w:div>
    <w:div w:id="458497208">
      <w:bodyDiv w:val="1"/>
      <w:marLeft w:val="0pt"/>
      <w:marRight w:val="0pt"/>
      <w:marTop w:val="0pt"/>
      <w:marBottom w:val="0pt"/>
      <w:divBdr>
        <w:top w:val="none" w:sz="0" w:space="0" w:color="auto"/>
        <w:left w:val="none" w:sz="0" w:space="0" w:color="auto"/>
        <w:bottom w:val="none" w:sz="0" w:space="0" w:color="auto"/>
        <w:right w:val="none" w:sz="0" w:space="0" w:color="auto"/>
      </w:divBdr>
    </w:div>
    <w:div w:id="468977793">
      <w:bodyDiv w:val="1"/>
      <w:marLeft w:val="0pt"/>
      <w:marRight w:val="0pt"/>
      <w:marTop w:val="0pt"/>
      <w:marBottom w:val="0pt"/>
      <w:divBdr>
        <w:top w:val="none" w:sz="0" w:space="0" w:color="auto"/>
        <w:left w:val="none" w:sz="0" w:space="0" w:color="auto"/>
        <w:bottom w:val="none" w:sz="0" w:space="0" w:color="auto"/>
        <w:right w:val="none" w:sz="0" w:space="0" w:color="auto"/>
      </w:divBdr>
    </w:div>
    <w:div w:id="4792297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6102913">
          <w:marLeft w:val="156.25pt"/>
          <w:marRight w:val="0pt"/>
          <w:marTop w:val="0pt"/>
          <w:marBottom w:val="0pt"/>
          <w:divBdr>
            <w:top w:val="none" w:sz="0" w:space="0" w:color="auto"/>
            <w:left w:val="none" w:sz="0" w:space="0" w:color="auto"/>
            <w:bottom w:val="none" w:sz="0" w:space="0" w:color="auto"/>
            <w:right w:val="none" w:sz="0" w:space="0" w:color="auto"/>
          </w:divBdr>
        </w:div>
      </w:divsChild>
    </w:div>
    <w:div w:id="496387260">
      <w:bodyDiv w:val="1"/>
      <w:marLeft w:val="0pt"/>
      <w:marRight w:val="0pt"/>
      <w:marTop w:val="0pt"/>
      <w:marBottom w:val="0pt"/>
      <w:divBdr>
        <w:top w:val="none" w:sz="0" w:space="0" w:color="auto"/>
        <w:left w:val="none" w:sz="0" w:space="0" w:color="auto"/>
        <w:bottom w:val="none" w:sz="0" w:space="0" w:color="auto"/>
        <w:right w:val="none" w:sz="0" w:space="0" w:color="auto"/>
      </w:divBdr>
    </w:div>
    <w:div w:id="511576114">
      <w:bodyDiv w:val="1"/>
      <w:marLeft w:val="0pt"/>
      <w:marRight w:val="0pt"/>
      <w:marTop w:val="0pt"/>
      <w:marBottom w:val="0pt"/>
      <w:divBdr>
        <w:top w:val="none" w:sz="0" w:space="0" w:color="auto"/>
        <w:left w:val="none" w:sz="0" w:space="0" w:color="auto"/>
        <w:bottom w:val="none" w:sz="0" w:space="0" w:color="auto"/>
        <w:right w:val="none" w:sz="0" w:space="0" w:color="auto"/>
      </w:divBdr>
    </w:div>
    <w:div w:id="532307810">
      <w:bodyDiv w:val="1"/>
      <w:marLeft w:val="0pt"/>
      <w:marRight w:val="0pt"/>
      <w:marTop w:val="0pt"/>
      <w:marBottom w:val="0pt"/>
      <w:divBdr>
        <w:top w:val="none" w:sz="0" w:space="0" w:color="auto"/>
        <w:left w:val="none" w:sz="0" w:space="0" w:color="auto"/>
        <w:bottom w:val="none" w:sz="0" w:space="0" w:color="auto"/>
        <w:right w:val="none" w:sz="0" w:space="0" w:color="auto"/>
      </w:divBdr>
    </w:div>
    <w:div w:id="567157701">
      <w:bodyDiv w:val="1"/>
      <w:marLeft w:val="0pt"/>
      <w:marRight w:val="0pt"/>
      <w:marTop w:val="0pt"/>
      <w:marBottom w:val="0pt"/>
      <w:divBdr>
        <w:top w:val="none" w:sz="0" w:space="0" w:color="auto"/>
        <w:left w:val="none" w:sz="0" w:space="0" w:color="auto"/>
        <w:bottom w:val="none" w:sz="0" w:space="0" w:color="auto"/>
        <w:right w:val="none" w:sz="0" w:space="0" w:color="auto"/>
      </w:divBdr>
    </w:div>
    <w:div w:id="570311838">
      <w:bodyDiv w:val="1"/>
      <w:marLeft w:val="0pt"/>
      <w:marRight w:val="0pt"/>
      <w:marTop w:val="0pt"/>
      <w:marBottom w:val="0pt"/>
      <w:divBdr>
        <w:top w:val="none" w:sz="0" w:space="0" w:color="auto"/>
        <w:left w:val="none" w:sz="0" w:space="0" w:color="auto"/>
        <w:bottom w:val="none" w:sz="0" w:space="0" w:color="auto"/>
        <w:right w:val="none" w:sz="0" w:space="0" w:color="auto"/>
      </w:divBdr>
    </w:div>
    <w:div w:id="575820897">
      <w:bodyDiv w:val="1"/>
      <w:marLeft w:val="0pt"/>
      <w:marRight w:val="0pt"/>
      <w:marTop w:val="0pt"/>
      <w:marBottom w:val="0pt"/>
      <w:divBdr>
        <w:top w:val="none" w:sz="0" w:space="0" w:color="auto"/>
        <w:left w:val="none" w:sz="0" w:space="0" w:color="auto"/>
        <w:bottom w:val="none" w:sz="0" w:space="0" w:color="auto"/>
        <w:right w:val="none" w:sz="0" w:space="0" w:color="auto"/>
      </w:divBdr>
    </w:div>
    <w:div w:id="582841989">
      <w:bodyDiv w:val="1"/>
      <w:marLeft w:val="0pt"/>
      <w:marRight w:val="0pt"/>
      <w:marTop w:val="0pt"/>
      <w:marBottom w:val="0pt"/>
      <w:divBdr>
        <w:top w:val="none" w:sz="0" w:space="0" w:color="auto"/>
        <w:left w:val="none" w:sz="0" w:space="0" w:color="auto"/>
        <w:bottom w:val="none" w:sz="0" w:space="0" w:color="auto"/>
        <w:right w:val="none" w:sz="0" w:space="0" w:color="auto"/>
      </w:divBdr>
    </w:div>
    <w:div w:id="608200844">
      <w:bodyDiv w:val="1"/>
      <w:marLeft w:val="0pt"/>
      <w:marRight w:val="0pt"/>
      <w:marTop w:val="0pt"/>
      <w:marBottom w:val="0pt"/>
      <w:divBdr>
        <w:top w:val="none" w:sz="0" w:space="0" w:color="auto"/>
        <w:left w:val="none" w:sz="0" w:space="0" w:color="auto"/>
        <w:bottom w:val="none" w:sz="0" w:space="0" w:color="auto"/>
        <w:right w:val="none" w:sz="0" w:space="0" w:color="auto"/>
      </w:divBdr>
    </w:div>
    <w:div w:id="612710315">
      <w:bodyDiv w:val="1"/>
      <w:marLeft w:val="0pt"/>
      <w:marRight w:val="0pt"/>
      <w:marTop w:val="0pt"/>
      <w:marBottom w:val="0pt"/>
      <w:divBdr>
        <w:top w:val="none" w:sz="0" w:space="0" w:color="auto"/>
        <w:left w:val="none" w:sz="0" w:space="0" w:color="auto"/>
        <w:bottom w:val="none" w:sz="0" w:space="0" w:color="auto"/>
        <w:right w:val="none" w:sz="0" w:space="0" w:color="auto"/>
      </w:divBdr>
    </w:div>
    <w:div w:id="622419214">
      <w:bodyDiv w:val="1"/>
      <w:marLeft w:val="0pt"/>
      <w:marRight w:val="0pt"/>
      <w:marTop w:val="0pt"/>
      <w:marBottom w:val="0pt"/>
      <w:divBdr>
        <w:top w:val="none" w:sz="0" w:space="0" w:color="auto"/>
        <w:left w:val="none" w:sz="0" w:space="0" w:color="auto"/>
        <w:bottom w:val="none" w:sz="0" w:space="0" w:color="auto"/>
        <w:right w:val="none" w:sz="0" w:space="0" w:color="auto"/>
      </w:divBdr>
    </w:div>
    <w:div w:id="633222561">
      <w:bodyDiv w:val="1"/>
      <w:marLeft w:val="0pt"/>
      <w:marRight w:val="0pt"/>
      <w:marTop w:val="0pt"/>
      <w:marBottom w:val="0pt"/>
      <w:divBdr>
        <w:top w:val="none" w:sz="0" w:space="0" w:color="auto"/>
        <w:left w:val="none" w:sz="0" w:space="0" w:color="auto"/>
        <w:bottom w:val="none" w:sz="0" w:space="0" w:color="auto"/>
        <w:right w:val="none" w:sz="0" w:space="0" w:color="auto"/>
      </w:divBdr>
    </w:div>
    <w:div w:id="644359026">
      <w:bodyDiv w:val="1"/>
      <w:marLeft w:val="0pt"/>
      <w:marRight w:val="0pt"/>
      <w:marTop w:val="0pt"/>
      <w:marBottom w:val="0pt"/>
      <w:divBdr>
        <w:top w:val="none" w:sz="0" w:space="0" w:color="auto"/>
        <w:left w:val="none" w:sz="0" w:space="0" w:color="auto"/>
        <w:bottom w:val="none" w:sz="0" w:space="0" w:color="auto"/>
        <w:right w:val="none" w:sz="0" w:space="0" w:color="auto"/>
      </w:divBdr>
    </w:div>
    <w:div w:id="645936201">
      <w:bodyDiv w:val="1"/>
      <w:marLeft w:val="0pt"/>
      <w:marRight w:val="0pt"/>
      <w:marTop w:val="0pt"/>
      <w:marBottom w:val="0pt"/>
      <w:divBdr>
        <w:top w:val="none" w:sz="0" w:space="0" w:color="auto"/>
        <w:left w:val="none" w:sz="0" w:space="0" w:color="auto"/>
        <w:bottom w:val="none" w:sz="0" w:space="0" w:color="auto"/>
        <w:right w:val="none" w:sz="0" w:space="0" w:color="auto"/>
      </w:divBdr>
    </w:div>
    <w:div w:id="655764160">
      <w:bodyDiv w:val="1"/>
      <w:marLeft w:val="0pt"/>
      <w:marRight w:val="0pt"/>
      <w:marTop w:val="0pt"/>
      <w:marBottom w:val="0pt"/>
      <w:divBdr>
        <w:top w:val="none" w:sz="0" w:space="0" w:color="auto"/>
        <w:left w:val="none" w:sz="0" w:space="0" w:color="auto"/>
        <w:bottom w:val="none" w:sz="0" w:space="0" w:color="auto"/>
        <w:right w:val="none" w:sz="0" w:space="0" w:color="auto"/>
      </w:divBdr>
    </w:div>
    <w:div w:id="665595425">
      <w:bodyDiv w:val="1"/>
      <w:marLeft w:val="0pt"/>
      <w:marRight w:val="0pt"/>
      <w:marTop w:val="0pt"/>
      <w:marBottom w:val="0pt"/>
      <w:divBdr>
        <w:top w:val="none" w:sz="0" w:space="0" w:color="auto"/>
        <w:left w:val="none" w:sz="0" w:space="0" w:color="auto"/>
        <w:bottom w:val="none" w:sz="0" w:space="0" w:color="auto"/>
        <w:right w:val="none" w:sz="0" w:space="0" w:color="auto"/>
      </w:divBdr>
    </w:div>
    <w:div w:id="669910845">
      <w:bodyDiv w:val="1"/>
      <w:marLeft w:val="0pt"/>
      <w:marRight w:val="0pt"/>
      <w:marTop w:val="0pt"/>
      <w:marBottom w:val="0pt"/>
      <w:divBdr>
        <w:top w:val="none" w:sz="0" w:space="0" w:color="auto"/>
        <w:left w:val="none" w:sz="0" w:space="0" w:color="auto"/>
        <w:bottom w:val="none" w:sz="0" w:space="0" w:color="auto"/>
        <w:right w:val="none" w:sz="0" w:space="0" w:color="auto"/>
      </w:divBdr>
    </w:div>
    <w:div w:id="670957746">
      <w:bodyDiv w:val="1"/>
      <w:marLeft w:val="0pt"/>
      <w:marRight w:val="0pt"/>
      <w:marTop w:val="0pt"/>
      <w:marBottom w:val="0pt"/>
      <w:divBdr>
        <w:top w:val="none" w:sz="0" w:space="0" w:color="auto"/>
        <w:left w:val="none" w:sz="0" w:space="0" w:color="auto"/>
        <w:bottom w:val="none" w:sz="0" w:space="0" w:color="auto"/>
        <w:right w:val="none" w:sz="0" w:space="0" w:color="auto"/>
      </w:divBdr>
    </w:div>
    <w:div w:id="672337393">
      <w:bodyDiv w:val="1"/>
      <w:marLeft w:val="0pt"/>
      <w:marRight w:val="0pt"/>
      <w:marTop w:val="0pt"/>
      <w:marBottom w:val="0pt"/>
      <w:divBdr>
        <w:top w:val="none" w:sz="0" w:space="0" w:color="auto"/>
        <w:left w:val="none" w:sz="0" w:space="0" w:color="auto"/>
        <w:bottom w:val="none" w:sz="0" w:space="0" w:color="auto"/>
        <w:right w:val="none" w:sz="0" w:space="0" w:color="auto"/>
      </w:divBdr>
    </w:div>
    <w:div w:id="682243687">
      <w:bodyDiv w:val="1"/>
      <w:marLeft w:val="0pt"/>
      <w:marRight w:val="0pt"/>
      <w:marTop w:val="0pt"/>
      <w:marBottom w:val="0pt"/>
      <w:divBdr>
        <w:top w:val="none" w:sz="0" w:space="0" w:color="auto"/>
        <w:left w:val="none" w:sz="0" w:space="0" w:color="auto"/>
        <w:bottom w:val="none" w:sz="0" w:space="0" w:color="auto"/>
        <w:right w:val="none" w:sz="0" w:space="0" w:color="auto"/>
      </w:divBdr>
    </w:div>
    <w:div w:id="685599262">
      <w:bodyDiv w:val="1"/>
      <w:marLeft w:val="0pt"/>
      <w:marRight w:val="0pt"/>
      <w:marTop w:val="0pt"/>
      <w:marBottom w:val="0pt"/>
      <w:divBdr>
        <w:top w:val="none" w:sz="0" w:space="0" w:color="auto"/>
        <w:left w:val="none" w:sz="0" w:space="0" w:color="auto"/>
        <w:bottom w:val="none" w:sz="0" w:space="0" w:color="auto"/>
        <w:right w:val="none" w:sz="0" w:space="0" w:color="auto"/>
      </w:divBdr>
    </w:div>
    <w:div w:id="689186761">
      <w:bodyDiv w:val="1"/>
      <w:marLeft w:val="0pt"/>
      <w:marRight w:val="0pt"/>
      <w:marTop w:val="0pt"/>
      <w:marBottom w:val="0pt"/>
      <w:divBdr>
        <w:top w:val="none" w:sz="0" w:space="0" w:color="auto"/>
        <w:left w:val="none" w:sz="0" w:space="0" w:color="auto"/>
        <w:bottom w:val="none" w:sz="0" w:space="0" w:color="auto"/>
        <w:right w:val="none" w:sz="0" w:space="0" w:color="auto"/>
      </w:divBdr>
    </w:div>
    <w:div w:id="722144735">
      <w:bodyDiv w:val="1"/>
      <w:marLeft w:val="0pt"/>
      <w:marRight w:val="0pt"/>
      <w:marTop w:val="0pt"/>
      <w:marBottom w:val="0pt"/>
      <w:divBdr>
        <w:top w:val="none" w:sz="0" w:space="0" w:color="auto"/>
        <w:left w:val="none" w:sz="0" w:space="0" w:color="auto"/>
        <w:bottom w:val="none" w:sz="0" w:space="0" w:color="auto"/>
        <w:right w:val="none" w:sz="0" w:space="0" w:color="auto"/>
      </w:divBdr>
    </w:div>
    <w:div w:id="752969572">
      <w:bodyDiv w:val="1"/>
      <w:marLeft w:val="0pt"/>
      <w:marRight w:val="0pt"/>
      <w:marTop w:val="0pt"/>
      <w:marBottom w:val="0pt"/>
      <w:divBdr>
        <w:top w:val="none" w:sz="0" w:space="0" w:color="auto"/>
        <w:left w:val="none" w:sz="0" w:space="0" w:color="auto"/>
        <w:bottom w:val="none" w:sz="0" w:space="0" w:color="auto"/>
        <w:right w:val="none" w:sz="0" w:space="0" w:color="auto"/>
      </w:divBdr>
    </w:div>
    <w:div w:id="776099113">
      <w:bodyDiv w:val="1"/>
      <w:marLeft w:val="0pt"/>
      <w:marRight w:val="0pt"/>
      <w:marTop w:val="0pt"/>
      <w:marBottom w:val="0pt"/>
      <w:divBdr>
        <w:top w:val="none" w:sz="0" w:space="0" w:color="auto"/>
        <w:left w:val="none" w:sz="0" w:space="0" w:color="auto"/>
        <w:bottom w:val="none" w:sz="0" w:space="0" w:color="auto"/>
        <w:right w:val="none" w:sz="0" w:space="0" w:color="auto"/>
      </w:divBdr>
    </w:div>
    <w:div w:id="809520321">
      <w:bodyDiv w:val="1"/>
      <w:marLeft w:val="0pt"/>
      <w:marRight w:val="0pt"/>
      <w:marTop w:val="0pt"/>
      <w:marBottom w:val="0pt"/>
      <w:divBdr>
        <w:top w:val="none" w:sz="0" w:space="0" w:color="auto"/>
        <w:left w:val="none" w:sz="0" w:space="0" w:color="auto"/>
        <w:bottom w:val="none" w:sz="0" w:space="0" w:color="auto"/>
        <w:right w:val="none" w:sz="0" w:space="0" w:color="auto"/>
      </w:divBdr>
    </w:div>
    <w:div w:id="823617902">
      <w:bodyDiv w:val="1"/>
      <w:marLeft w:val="0pt"/>
      <w:marRight w:val="0pt"/>
      <w:marTop w:val="0pt"/>
      <w:marBottom w:val="0pt"/>
      <w:divBdr>
        <w:top w:val="none" w:sz="0" w:space="0" w:color="auto"/>
        <w:left w:val="none" w:sz="0" w:space="0" w:color="auto"/>
        <w:bottom w:val="none" w:sz="0" w:space="0" w:color="auto"/>
        <w:right w:val="none" w:sz="0" w:space="0" w:color="auto"/>
      </w:divBdr>
    </w:div>
    <w:div w:id="847713411">
      <w:bodyDiv w:val="1"/>
      <w:marLeft w:val="0pt"/>
      <w:marRight w:val="0pt"/>
      <w:marTop w:val="0pt"/>
      <w:marBottom w:val="0pt"/>
      <w:divBdr>
        <w:top w:val="none" w:sz="0" w:space="0" w:color="auto"/>
        <w:left w:val="none" w:sz="0" w:space="0" w:color="auto"/>
        <w:bottom w:val="none" w:sz="0" w:space="0" w:color="auto"/>
        <w:right w:val="none" w:sz="0" w:space="0" w:color="auto"/>
      </w:divBdr>
    </w:div>
    <w:div w:id="855385269">
      <w:bodyDiv w:val="1"/>
      <w:marLeft w:val="0pt"/>
      <w:marRight w:val="0pt"/>
      <w:marTop w:val="0pt"/>
      <w:marBottom w:val="0pt"/>
      <w:divBdr>
        <w:top w:val="none" w:sz="0" w:space="0" w:color="auto"/>
        <w:left w:val="none" w:sz="0" w:space="0" w:color="auto"/>
        <w:bottom w:val="none" w:sz="0" w:space="0" w:color="auto"/>
        <w:right w:val="none" w:sz="0" w:space="0" w:color="auto"/>
      </w:divBdr>
    </w:div>
    <w:div w:id="880823444">
      <w:bodyDiv w:val="1"/>
      <w:marLeft w:val="0pt"/>
      <w:marRight w:val="0pt"/>
      <w:marTop w:val="0pt"/>
      <w:marBottom w:val="0pt"/>
      <w:divBdr>
        <w:top w:val="none" w:sz="0" w:space="0" w:color="auto"/>
        <w:left w:val="none" w:sz="0" w:space="0" w:color="auto"/>
        <w:bottom w:val="none" w:sz="0" w:space="0" w:color="auto"/>
        <w:right w:val="none" w:sz="0" w:space="0" w:color="auto"/>
      </w:divBdr>
    </w:div>
    <w:div w:id="920411302">
      <w:bodyDiv w:val="1"/>
      <w:marLeft w:val="0pt"/>
      <w:marRight w:val="0pt"/>
      <w:marTop w:val="0pt"/>
      <w:marBottom w:val="0pt"/>
      <w:divBdr>
        <w:top w:val="none" w:sz="0" w:space="0" w:color="auto"/>
        <w:left w:val="none" w:sz="0" w:space="0" w:color="auto"/>
        <w:bottom w:val="none" w:sz="0" w:space="0" w:color="auto"/>
        <w:right w:val="none" w:sz="0" w:space="0" w:color="auto"/>
      </w:divBdr>
    </w:div>
    <w:div w:id="946277169">
      <w:bodyDiv w:val="1"/>
      <w:marLeft w:val="0pt"/>
      <w:marRight w:val="0pt"/>
      <w:marTop w:val="0pt"/>
      <w:marBottom w:val="0pt"/>
      <w:divBdr>
        <w:top w:val="none" w:sz="0" w:space="0" w:color="auto"/>
        <w:left w:val="none" w:sz="0" w:space="0" w:color="auto"/>
        <w:bottom w:val="none" w:sz="0" w:space="0" w:color="auto"/>
        <w:right w:val="none" w:sz="0" w:space="0" w:color="auto"/>
      </w:divBdr>
    </w:div>
    <w:div w:id="959266108">
      <w:bodyDiv w:val="1"/>
      <w:marLeft w:val="0pt"/>
      <w:marRight w:val="0pt"/>
      <w:marTop w:val="0pt"/>
      <w:marBottom w:val="0pt"/>
      <w:divBdr>
        <w:top w:val="none" w:sz="0" w:space="0" w:color="auto"/>
        <w:left w:val="none" w:sz="0" w:space="0" w:color="auto"/>
        <w:bottom w:val="none" w:sz="0" w:space="0" w:color="auto"/>
        <w:right w:val="none" w:sz="0" w:space="0" w:color="auto"/>
      </w:divBdr>
    </w:div>
    <w:div w:id="966740572">
      <w:bodyDiv w:val="1"/>
      <w:marLeft w:val="0pt"/>
      <w:marRight w:val="0pt"/>
      <w:marTop w:val="0pt"/>
      <w:marBottom w:val="0pt"/>
      <w:divBdr>
        <w:top w:val="none" w:sz="0" w:space="0" w:color="auto"/>
        <w:left w:val="none" w:sz="0" w:space="0" w:color="auto"/>
        <w:bottom w:val="none" w:sz="0" w:space="0" w:color="auto"/>
        <w:right w:val="none" w:sz="0" w:space="0" w:color="auto"/>
      </w:divBdr>
    </w:div>
    <w:div w:id="976110194">
      <w:bodyDiv w:val="1"/>
      <w:marLeft w:val="0pt"/>
      <w:marRight w:val="0pt"/>
      <w:marTop w:val="0pt"/>
      <w:marBottom w:val="0pt"/>
      <w:divBdr>
        <w:top w:val="none" w:sz="0" w:space="0" w:color="auto"/>
        <w:left w:val="none" w:sz="0" w:space="0" w:color="auto"/>
        <w:bottom w:val="none" w:sz="0" w:space="0" w:color="auto"/>
        <w:right w:val="none" w:sz="0" w:space="0" w:color="auto"/>
      </w:divBdr>
    </w:div>
    <w:div w:id="985627730">
      <w:bodyDiv w:val="1"/>
      <w:marLeft w:val="0pt"/>
      <w:marRight w:val="0pt"/>
      <w:marTop w:val="0pt"/>
      <w:marBottom w:val="0pt"/>
      <w:divBdr>
        <w:top w:val="none" w:sz="0" w:space="0" w:color="auto"/>
        <w:left w:val="none" w:sz="0" w:space="0" w:color="auto"/>
        <w:bottom w:val="none" w:sz="0" w:space="0" w:color="auto"/>
        <w:right w:val="none" w:sz="0" w:space="0" w:color="auto"/>
      </w:divBdr>
    </w:div>
    <w:div w:id="1002663444">
      <w:bodyDiv w:val="1"/>
      <w:marLeft w:val="0pt"/>
      <w:marRight w:val="0pt"/>
      <w:marTop w:val="0pt"/>
      <w:marBottom w:val="0pt"/>
      <w:divBdr>
        <w:top w:val="none" w:sz="0" w:space="0" w:color="auto"/>
        <w:left w:val="none" w:sz="0" w:space="0" w:color="auto"/>
        <w:bottom w:val="none" w:sz="0" w:space="0" w:color="auto"/>
        <w:right w:val="none" w:sz="0" w:space="0" w:color="auto"/>
      </w:divBdr>
    </w:div>
    <w:div w:id="1006514764">
      <w:bodyDiv w:val="1"/>
      <w:marLeft w:val="0pt"/>
      <w:marRight w:val="0pt"/>
      <w:marTop w:val="0pt"/>
      <w:marBottom w:val="0pt"/>
      <w:divBdr>
        <w:top w:val="none" w:sz="0" w:space="0" w:color="auto"/>
        <w:left w:val="none" w:sz="0" w:space="0" w:color="auto"/>
        <w:bottom w:val="none" w:sz="0" w:space="0" w:color="auto"/>
        <w:right w:val="none" w:sz="0" w:space="0" w:color="auto"/>
      </w:divBdr>
    </w:div>
    <w:div w:id="1015961452">
      <w:bodyDiv w:val="1"/>
      <w:marLeft w:val="0pt"/>
      <w:marRight w:val="0pt"/>
      <w:marTop w:val="0pt"/>
      <w:marBottom w:val="0pt"/>
      <w:divBdr>
        <w:top w:val="none" w:sz="0" w:space="0" w:color="auto"/>
        <w:left w:val="none" w:sz="0" w:space="0" w:color="auto"/>
        <w:bottom w:val="none" w:sz="0" w:space="0" w:color="auto"/>
        <w:right w:val="none" w:sz="0" w:space="0" w:color="auto"/>
      </w:divBdr>
    </w:div>
    <w:div w:id="10179253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49832064">
          <w:marLeft w:val="156.25pt"/>
          <w:marRight w:val="0pt"/>
          <w:marTop w:val="0pt"/>
          <w:marBottom w:val="0pt"/>
          <w:divBdr>
            <w:top w:val="none" w:sz="0" w:space="0" w:color="auto"/>
            <w:left w:val="none" w:sz="0" w:space="0" w:color="auto"/>
            <w:bottom w:val="none" w:sz="0" w:space="0" w:color="auto"/>
            <w:right w:val="none" w:sz="0" w:space="0" w:color="auto"/>
          </w:divBdr>
        </w:div>
      </w:divsChild>
    </w:div>
    <w:div w:id="1040517252">
      <w:bodyDiv w:val="1"/>
      <w:marLeft w:val="0pt"/>
      <w:marRight w:val="0pt"/>
      <w:marTop w:val="0pt"/>
      <w:marBottom w:val="0pt"/>
      <w:divBdr>
        <w:top w:val="none" w:sz="0" w:space="0" w:color="auto"/>
        <w:left w:val="none" w:sz="0" w:space="0" w:color="auto"/>
        <w:bottom w:val="none" w:sz="0" w:space="0" w:color="auto"/>
        <w:right w:val="none" w:sz="0" w:space="0" w:color="auto"/>
      </w:divBdr>
    </w:div>
    <w:div w:id="1040670931">
      <w:bodyDiv w:val="1"/>
      <w:marLeft w:val="0pt"/>
      <w:marRight w:val="0pt"/>
      <w:marTop w:val="0pt"/>
      <w:marBottom w:val="0pt"/>
      <w:divBdr>
        <w:top w:val="none" w:sz="0" w:space="0" w:color="auto"/>
        <w:left w:val="none" w:sz="0" w:space="0" w:color="auto"/>
        <w:bottom w:val="none" w:sz="0" w:space="0" w:color="auto"/>
        <w:right w:val="none" w:sz="0" w:space="0" w:color="auto"/>
      </w:divBdr>
    </w:div>
    <w:div w:id="1082531305">
      <w:bodyDiv w:val="1"/>
      <w:marLeft w:val="0pt"/>
      <w:marRight w:val="0pt"/>
      <w:marTop w:val="0pt"/>
      <w:marBottom w:val="0pt"/>
      <w:divBdr>
        <w:top w:val="none" w:sz="0" w:space="0" w:color="auto"/>
        <w:left w:val="none" w:sz="0" w:space="0" w:color="auto"/>
        <w:bottom w:val="none" w:sz="0" w:space="0" w:color="auto"/>
        <w:right w:val="none" w:sz="0" w:space="0" w:color="auto"/>
      </w:divBdr>
    </w:div>
    <w:div w:id="11273092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5927887">
          <w:marLeft w:val="0pt"/>
          <w:marRight w:val="0pt"/>
          <w:marTop w:val="0pt"/>
          <w:marBottom w:val="0pt"/>
          <w:divBdr>
            <w:top w:val="none" w:sz="0" w:space="0" w:color="auto"/>
            <w:left w:val="none" w:sz="0" w:space="0" w:color="auto"/>
            <w:bottom w:val="none" w:sz="0" w:space="0" w:color="auto"/>
            <w:right w:val="none" w:sz="0" w:space="0" w:color="auto"/>
          </w:divBdr>
          <w:divsChild>
            <w:div w:id="338583927">
              <w:marLeft w:val="0pt"/>
              <w:marRight w:val="0pt"/>
              <w:marTop w:val="0pt"/>
              <w:marBottom w:val="0pt"/>
              <w:divBdr>
                <w:top w:val="none" w:sz="0" w:space="0" w:color="auto"/>
                <w:left w:val="none" w:sz="0" w:space="0" w:color="auto"/>
                <w:bottom w:val="none" w:sz="0" w:space="0" w:color="auto"/>
                <w:right w:val="none" w:sz="0" w:space="0" w:color="auto"/>
              </w:divBdr>
              <w:divsChild>
                <w:div w:id="704446908">
                  <w:marLeft w:val="0pt"/>
                  <w:marRight w:val="3.75pt"/>
                  <w:marTop w:val="0pt"/>
                  <w:marBottom w:val="0pt"/>
                  <w:divBdr>
                    <w:top w:val="none" w:sz="0" w:space="0" w:color="auto"/>
                    <w:left w:val="none" w:sz="0" w:space="0" w:color="auto"/>
                    <w:bottom w:val="none" w:sz="0" w:space="0" w:color="auto"/>
                    <w:right w:val="none" w:sz="0" w:space="0" w:color="auto"/>
                  </w:divBdr>
                </w:div>
                <w:div w:id="834951762">
                  <w:marLeft w:val="0pt"/>
                  <w:marRight w:val="0pt"/>
                  <w:marTop w:val="0pt"/>
                  <w:marBottom w:val="0pt"/>
                  <w:divBdr>
                    <w:top w:val="none" w:sz="0" w:space="0" w:color="auto"/>
                    <w:left w:val="none" w:sz="0" w:space="0" w:color="auto"/>
                    <w:bottom w:val="none" w:sz="0" w:space="0" w:color="auto"/>
                    <w:right w:val="none" w:sz="0" w:space="0" w:color="auto"/>
                  </w:divBdr>
                  <w:divsChild>
                    <w:div w:id="143092611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165783820">
      <w:bodyDiv w:val="1"/>
      <w:marLeft w:val="0pt"/>
      <w:marRight w:val="0pt"/>
      <w:marTop w:val="0pt"/>
      <w:marBottom w:val="0pt"/>
      <w:divBdr>
        <w:top w:val="none" w:sz="0" w:space="0" w:color="auto"/>
        <w:left w:val="none" w:sz="0" w:space="0" w:color="auto"/>
        <w:bottom w:val="none" w:sz="0" w:space="0" w:color="auto"/>
        <w:right w:val="none" w:sz="0" w:space="0" w:color="auto"/>
      </w:divBdr>
    </w:div>
    <w:div w:id="1169640696">
      <w:bodyDiv w:val="1"/>
      <w:marLeft w:val="0pt"/>
      <w:marRight w:val="0pt"/>
      <w:marTop w:val="0pt"/>
      <w:marBottom w:val="0pt"/>
      <w:divBdr>
        <w:top w:val="none" w:sz="0" w:space="0" w:color="auto"/>
        <w:left w:val="none" w:sz="0" w:space="0" w:color="auto"/>
        <w:bottom w:val="none" w:sz="0" w:space="0" w:color="auto"/>
        <w:right w:val="none" w:sz="0" w:space="0" w:color="auto"/>
      </w:divBdr>
    </w:div>
    <w:div w:id="1201091465">
      <w:bodyDiv w:val="1"/>
      <w:marLeft w:val="0pt"/>
      <w:marRight w:val="0pt"/>
      <w:marTop w:val="0pt"/>
      <w:marBottom w:val="0pt"/>
      <w:divBdr>
        <w:top w:val="none" w:sz="0" w:space="0" w:color="auto"/>
        <w:left w:val="none" w:sz="0" w:space="0" w:color="auto"/>
        <w:bottom w:val="none" w:sz="0" w:space="0" w:color="auto"/>
        <w:right w:val="none" w:sz="0" w:space="0" w:color="auto"/>
      </w:divBdr>
    </w:div>
    <w:div w:id="1205632428">
      <w:bodyDiv w:val="1"/>
      <w:marLeft w:val="0pt"/>
      <w:marRight w:val="0pt"/>
      <w:marTop w:val="0pt"/>
      <w:marBottom w:val="0pt"/>
      <w:divBdr>
        <w:top w:val="none" w:sz="0" w:space="0" w:color="auto"/>
        <w:left w:val="none" w:sz="0" w:space="0" w:color="auto"/>
        <w:bottom w:val="none" w:sz="0" w:space="0" w:color="auto"/>
        <w:right w:val="none" w:sz="0" w:space="0" w:color="auto"/>
      </w:divBdr>
    </w:div>
    <w:div w:id="1205827978">
      <w:bodyDiv w:val="1"/>
      <w:marLeft w:val="0pt"/>
      <w:marRight w:val="0pt"/>
      <w:marTop w:val="0pt"/>
      <w:marBottom w:val="0pt"/>
      <w:divBdr>
        <w:top w:val="none" w:sz="0" w:space="0" w:color="auto"/>
        <w:left w:val="none" w:sz="0" w:space="0" w:color="auto"/>
        <w:bottom w:val="none" w:sz="0" w:space="0" w:color="auto"/>
        <w:right w:val="none" w:sz="0" w:space="0" w:color="auto"/>
      </w:divBdr>
    </w:div>
    <w:div w:id="1210261336">
      <w:bodyDiv w:val="1"/>
      <w:marLeft w:val="0pt"/>
      <w:marRight w:val="0pt"/>
      <w:marTop w:val="0pt"/>
      <w:marBottom w:val="0pt"/>
      <w:divBdr>
        <w:top w:val="none" w:sz="0" w:space="0" w:color="auto"/>
        <w:left w:val="none" w:sz="0" w:space="0" w:color="auto"/>
        <w:bottom w:val="none" w:sz="0" w:space="0" w:color="auto"/>
        <w:right w:val="none" w:sz="0" w:space="0" w:color="auto"/>
      </w:divBdr>
    </w:div>
    <w:div w:id="1210339874">
      <w:bodyDiv w:val="1"/>
      <w:marLeft w:val="0pt"/>
      <w:marRight w:val="0pt"/>
      <w:marTop w:val="0pt"/>
      <w:marBottom w:val="0pt"/>
      <w:divBdr>
        <w:top w:val="none" w:sz="0" w:space="0" w:color="auto"/>
        <w:left w:val="none" w:sz="0" w:space="0" w:color="auto"/>
        <w:bottom w:val="none" w:sz="0" w:space="0" w:color="auto"/>
        <w:right w:val="none" w:sz="0" w:space="0" w:color="auto"/>
      </w:divBdr>
    </w:div>
    <w:div w:id="1296333547">
      <w:bodyDiv w:val="1"/>
      <w:marLeft w:val="0pt"/>
      <w:marRight w:val="0pt"/>
      <w:marTop w:val="0pt"/>
      <w:marBottom w:val="0pt"/>
      <w:divBdr>
        <w:top w:val="none" w:sz="0" w:space="0" w:color="auto"/>
        <w:left w:val="none" w:sz="0" w:space="0" w:color="auto"/>
        <w:bottom w:val="none" w:sz="0" w:space="0" w:color="auto"/>
        <w:right w:val="none" w:sz="0" w:space="0" w:color="auto"/>
      </w:divBdr>
    </w:div>
    <w:div w:id="1331062567">
      <w:bodyDiv w:val="1"/>
      <w:marLeft w:val="0pt"/>
      <w:marRight w:val="0pt"/>
      <w:marTop w:val="0pt"/>
      <w:marBottom w:val="0pt"/>
      <w:divBdr>
        <w:top w:val="none" w:sz="0" w:space="0" w:color="auto"/>
        <w:left w:val="none" w:sz="0" w:space="0" w:color="auto"/>
        <w:bottom w:val="none" w:sz="0" w:space="0" w:color="auto"/>
        <w:right w:val="none" w:sz="0" w:space="0" w:color="auto"/>
      </w:divBdr>
    </w:div>
    <w:div w:id="1341739527">
      <w:bodyDiv w:val="1"/>
      <w:marLeft w:val="0pt"/>
      <w:marRight w:val="0pt"/>
      <w:marTop w:val="0pt"/>
      <w:marBottom w:val="0pt"/>
      <w:divBdr>
        <w:top w:val="none" w:sz="0" w:space="0" w:color="auto"/>
        <w:left w:val="none" w:sz="0" w:space="0" w:color="auto"/>
        <w:bottom w:val="none" w:sz="0" w:space="0" w:color="auto"/>
        <w:right w:val="none" w:sz="0" w:space="0" w:color="auto"/>
      </w:divBdr>
    </w:div>
    <w:div w:id="1359086068">
      <w:bodyDiv w:val="1"/>
      <w:marLeft w:val="0pt"/>
      <w:marRight w:val="0pt"/>
      <w:marTop w:val="0pt"/>
      <w:marBottom w:val="0pt"/>
      <w:divBdr>
        <w:top w:val="none" w:sz="0" w:space="0" w:color="auto"/>
        <w:left w:val="none" w:sz="0" w:space="0" w:color="auto"/>
        <w:bottom w:val="none" w:sz="0" w:space="0" w:color="auto"/>
        <w:right w:val="none" w:sz="0" w:space="0" w:color="auto"/>
      </w:divBdr>
    </w:div>
    <w:div w:id="1401172765">
      <w:bodyDiv w:val="1"/>
      <w:marLeft w:val="0pt"/>
      <w:marRight w:val="0pt"/>
      <w:marTop w:val="0pt"/>
      <w:marBottom w:val="0pt"/>
      <w:divBdr>
        <w:top w:val="none" w:sz="0" w:space="0" w:color="auto"/>
        <w:left w:val="none" w:sz="0" w:space="0" w:color="auto"/>
        <w:bottom w:val="none" w:sz="0" w:space="0" w:color="auto"/>
        <w:right w:val="none" w:sz="0" w:space="0" w:color="auto"/>
      </w:divBdr>
    </w:div>
    <w:div w:id="1417558778">
      <w:bodyDiv w:val="1"/>
      <w:marLeft w:val="0pt"/>
      <w:marRight w:val="0pt"/>
      <w:marTop w:val="0pt"/>
      <w:marBottom w:val="0pt"/>
      <w:divBdr>
        <w:top w:val="none" w:sz="0" w:space="0" w:color="auto"/>
        <w:left w:val="none" w:sz="0" w:space="0" w:color="auto"/>
        <w:bottom w:val="none" w:sz="0" w:space="0" w:color="auto"/>
        <w:right w:val="none" w:sz="0" w:space="0" w:color="auto"/>
      </w:divBdr>
    </w:div>
    <w:div w:id="1449082233">
      <w:bodyDiv w:val="1"/>
      <w:marLeft w:val="0pt"/>
      <w:marRight w:val="0pt"/>
      <w:marTop w:val="0pt"/>
      <w:marBottom w:val="0pt"/>
      <w:divBdr>
        <w:top w:val="none" w:sz="0" w:space="0" w:color="auto"/>
        <w:left w:val="none" w:sz="0" w:space="0" w:color="auto"/>
        <w:bottom w:val="none" w:sz="0" w:space="0" w:color="auto"/>
        <w:right w:val="none" w:sz="0" w:space="0" w:color="auto"/>
      </w:divBdr>
    </w:div>
    <w:div w:id="1472747919">
      <w:bodyDiv w:val="1"/>
      <w:marLeft w:val="0pt"/>
      <w:marRight w:val="0pt"/>
      <w:marTop w:val="0pt"/>
      <w:marBottom w:val="0pt"/>
      <w:divBdr>
        <w:top w:val="none" w:sz="0" w:space="0" w:color="auto"/>
        <w:left w:val="none" w:sz="0" w:space="0" w:color="auto"/>
        <w:bottom w:val="none" w:sz="0" w:space="0" w:color="auto"/>
        <w:right w:val="none" w:sz="0" w:space="0" w:color="auto"/>
      </w:divBdr>
    </w:div>
    <w:div w:id="1472791416">
      <w:bodyDiv w:val="1"/>
      <w:marLeft w:val="0pt"/>
      <w:marRight w:val="0pt"/>
      <w:marTop w:val="0pt"/>
      <w:marBottom w:val="0pt"/>
      <w:divBdr>
        <w:top w:val="none" w:sz="0" w:space="0" w:color="auto"/>
        <w:left w:val="none" w:sz="0" w:space="0" w:color="auto"/>
        <w:bottom w:val="none" w:sz="0" w:space="0" w:color="auto"/>
        <w:right w:val="none" w:sz="0" w:space="0" w:color="auto"/>
      </w:divBdr>
    </w:div>
    <w:div w:id="1487748591">
      <w:bodyDiv w:val="1"/>
      <w:marLeft w:val="0pt"/>
      <w:marRight w:val="0pt"/>
      <w:marTop w:val="0pt"/>
      <w:marBottom w:val="0pt"/>
      <w:divBdr>
        <w:top w:val="none" w:sz="0" w:space="0" w:color="auto"/>
        <w:left w:val="none" w:sz="0" w:space="0" w:color="auto"/>
        <w:bottom w:val="none" w:sz="0" w:space="0" w:color="auto"/>
        <w:right w:val="none" w:sz="0" w:space="0" w:color="auto"/>
      </w:divBdr>
    </w:div>
    <w:div w:id="1494832033">
      <w:bodyDiv w:val="1"/>
      <w:marLeft w:val="0pt"/>
      <w:marRight w:val="0pt"/>
      <w:marTop w:val="0pt"/>
      <w:marBottom w:val="0pt"/>
      <w:divBdr>
        <w:top w:val="none" w:sz="0" w:space="0" w:color="auto"/>
        <w:left w:val="none" w:sz="0" w:space="0" w:color="auto"/>
        <w:bottom w:val="none" w:sz="0" w:space="0" w:color="auto"/>
        <w:right w:val="none" w:sz="0" w:space="0" w:color="auto"/>
      </w:divBdr>
    </w:div>
    <w:div w:id="1500847462">
      <w:bodyDiv w:val="1"/>
      <w:marLeft w:val="0pt"/>
      <w:marRight w:val="0pt"/>
      <w:marTop w:val="0pt"/>
      <w:marBottom w:val="0pt"/>
      <w:divBdr>
        <w:top w:val="none" w:sz="0" w:space="0" w:color="auto"/>
        <w:left w:val="none" w:sz="0" w:space="0" w:color="auto"/>
        <w:bottom w:val="none" w:sz="0" w:space="0" w:color="auto"/>
        <w:right w:val="none" w:sz="0" w:space="0" w:color="auto"/>
      </w:divBdr>
    </w:div>
    <w:div w:id="1502618839">
      <w:bodyDiv w:val="1"/>
      <w:marLeft w:val="0pt"/>
      <w:marRight w:val="0pt"/>
      <w:marTop w:val="0pt"/>
      <w:marBottom w:val="0pt"/>
      <w:divBdr>
        <w:top w:val="none" w:sz="0" w:space="0" w:color="auto"/>
        <w:left w:val="none" w:sz="0" w:space="0" w:color="auto"/>
        <w:bottom w:val="none" w:sz="0" w:space="0" w:color="auto"/>
        <w:right w:val="none" w:sz="0" w:space="0" w:color="auto"/>
      </w:divBdr>
    </w:div>
    <w:div w:id="1505242432">
      <w:bodyDiv w:val="1"/>
      <w:marLeft w:val="0pt"/>
      <w:marRight w:val="0pt"/>
      <w:marTop w:val="0pt"/>
      <w:marBottom w:val="0pt"/>
      <w:divBdr>
        <w:top w:val="none" w:sz="0" w:space="0" w:color="auto"/>
        <w:left w:val="none" w:sz="0" w:space="0" w:color="auto"/>
        <w:bottom w:val="none" w:sz="0" w:space="0" w:color="auto"/>
        <w:right w:val="none" w:sz="0" w:space="0" w:color="auto"/>
      </w:divBdr>
    </w:div>
    <w:div w:id="1511023246">
      <w:bodyDiv w:val="1"/>
      <w:marLeft w:val="0pt"/>
      <w:marRight w:val="0pt"/>
      <w:marTop w:val="0pt"/>
      <w:marBottom w:val="0pt"/>
      <w:divBdr>
        <w:top w:val="none" w:sz="0" w:space="0" w:color="auto"/>
        <w:left w:val="none" w:sz="0" w:space="0" w:color="auto"/>
        <w:bottom w:val="none" w:sz="0" w:space="0" w:color="auto"/>
        <w:right w:val="none" w:sz="0" w:space="0" w:color="auto"/>
      </w:divBdr>
    </w:div>
    <w:div w:id="1514294915">
      <w:bodyDiv w:val="1"/>
      <w:marLeft w:val="0pt"/>
      <w:marRight w:val="0pt"/>
      <w:marTop w:val="0pt"/>
      <w:marBottom w:val="0pt"/>
      <w:divBdr>
        <w:top w:val="none" w:sz="0" w:space="0" w:color="auto"/>
        <w:left w:val="none" w:sz="0" w:space="0" w:color="auto"/>
        <w:bottom w:val="none" w:sz="0" w:space="0" w:color="auto"/>
        <w:right w:val="none" w:sz="0" w:space="0" w:color="auto"/>
      </w:divBdr>
    </w:div>
    <w:div w:id="1531843470">
      <w:bodyDiv w:val="1"/>
      <w:marLeft w:val="0pt"/>
      <w:marRight w:val="0pt"/>
      <w:marTop w:val="0pt"/>
      <w:marBottom w:val="0pt"/>
      <w:divBdr>
        <w:top w:val="none" w:sz="0" w:space="0" w:color="auto"/>
        <w:left w:val="none" w:sz="0" w:space="0" w:color="auto"/>
        <w:bottom w:val="none" w:sz="0" w:space="0" w:color="auto"/>
        <w:right w:val="none" w:sz="0" w:space="0" w:color="auto"/>
      </w:divBdr>
    </w:div>
    <w:div w:id="1535460094">
      <w:bodyDiv w:val="1"/>
      <w:marLeft w:val="0pt"/>
      <w:marRight w:val="0pt"/>
      <w:marTop w:val="0pt"/>
      <w:marBottom w:val="0pt"/>
      <w:divBdr>
        <w:top w:val="none" w:sz="0" w:space="0" w:color="auto"/>
        <w:left w:val="none" w:sz="0" w:space="0" w:color="auto"/>
        <w:bottom w:val="none" w:sz="0" w:space="0" w:color="auto"/>
        <w:right w:val="none" w:sz="0" w:space="0" w:color="auto"/>
      </w:divBdr>
    </w:div>
    <w:div w:id="1541163593">
      <w:bodyDiv w:val="1"/>
      <w:marLeft w:val="0pt"/>
      <w:marRight w:val="0pt"/>
      <w:marTop w:val="0pt"/>
      <w:marBottom w:val="0pt"/>
      <w:divBdr>
        <w:top w:val="none" w:sz="0" w:space="0" w:color="auto"/>
        <w:left w:val="none" w:sz="0" w:space="0" w:color="auto"/>
        <w:bottom w:val="none" w:sz="0" w:space="0" w:color="auto"/>
        <w:right w:val="none" w:sz="0" w:space="0" w:color="auto"/>
      </w:divBdr>
    </w:div>
    <w:div w:id="1559823008">
      <w:bodyDiv w:val="1"/>
      <w:marLeft w:val="0pt"/>
      <w:marRight w:val="0pt"/>
      <w:marTop w:val="0pt"/>
      <w:marBottom w:val="0pt"/>
      <w:divBdr>
        <w:top w:val="none" w:sz="0" w:space="0" w:color="auto"/>
        <w:left w:val="none" w:sz="0" w:space="0" w:color="auto"/>
        <w:bottom w:val="none" w:sz="0" w:space="0" w:color="auto"/>
        <w:right w:val="none" w:sz="0" w:space="0" w:color="auto"/>
      </w:divBdr>
    </w:div>
    <w:div w:id="1563444866">
      <w:bodyDiv w:val="1"/>
      <w:marLeft w:val="0pt"/>
      <w:marRight w:val="0pt"/>
      <w:marTop w:val="0pt"/>
      <w:marBottom w:val="0pt"/>
      <w:divBdr>
        <w:top w:val="none" w:sz="0" w:space="0" w:color="auto"/>
        <w:left w:val="none" w:sz="0" w:space="0" w:color="auto"/>
        <w:bottom w:val="none" w:sz="0" w:space="0" w:color="auto"/>
        <w:right w:val="none" w:sz="0" w:space="0" w:color="auto"/>
      </w:divBdr>
    </w:div>
    <w:div w:id="1582831127">
      <w:bodyDiv w:val="1"/>
      <w:marLeft w:val="0pt"/>
      <w:marRight w:val="0pt"/>
      <w:marTop w:val="0pt"/>
      <w:marBottom w:val="0pt"/>
      <w:divBdr>
        <w:top w:val="none" w:sz="0" w:space="0" w:color="auto"/>
        <w:left w:val="none" w:sz="0" w:space="0" w:color="auto"/>
        <w:bottom w:val="none" w:sz="0" w:space="0" w:color="auto"/>
        <w:right w:val="none" w:sz="0" w:space="0" w:color="auto"/>
      </w:divBdr>
    </w:div>
    <w:div w:id="1592466036">
      <w:bodyDiv w:val="1"/>
      <w:marLeft w:val="0pt"/>
      <w:marRight w:val="0pt"/>
      <w:marTop w:val="0pt"/>
      <w:marBottom w:val="0pt"/>
      <w:divBdr>
        <w:top w:val="none" w:sz="0" w:space="0" w:color="auto"/>
        <w:left w:val="none" w:sz="0" w:space="0" w:color="auto"/>
        <w:bottom w:val="none" w:sz="0" w:space="0" w:color="auto"/>
        <w:right w:val="none" w:sz="0" w:space="0" w:color="auto"/>
      </w:divBdr>
    </w:div>
    <w:div w:id="1607958001">
      <w:bodyDiv w:val="1"/>
      <w:marLeft w:val="0pt"/>
      <w:marRight w:val="0pt"/>
      <w:marTop w:val="0pt"/>
      <w:marBottom w:val="0pt"/>
      <w:divBdr>
        <w:top w:val="none" w:sz="0" w:space="0" w:color="auto"/>
        <w:left w:val="none" w:sz="0" w:space="0" w:color="auto"/>
        <w:bottom w:val="none" w:sz="0" w:space="0" w:color="auto"/>
        <w:right w:val="none" w:sz="0" w:space="0" w:color="auto"/>
      </w:divBdr>
    </w:div>
    <w:div w:id="1613782719">
      <w:bodyDiv w:val="1"/>
      <w:marLeft w:val="0pt"/>
      <w:marRight w:val="0pt"/>
      <w:marTop w:val="0pt"/>
      <w:marBottom w:val="0pt"/>
      <w:divBdr>
        <w:top w:val="none" w:sz="0" w:space="0" w:color="auto"/>
        <w:left w:val="none" w:sz="0" w:space="0" w:color="auto"/>
        <w:bottom w:val="none" w:sz="0" w:space="0" w:color="auto"/>
        <w:right w:val="none" w:sz="0" w:space="0" w:color="auto"/>
      </w:divBdr>
    </w:div>
    <w:div w:id="1687563774">
      <w:bodyDiv w:val="1"/>
      <w:marLeft w:val="0pt"/>
      <w:marRight w:val="0pt"/>
      <w:marTop w:val="0pt"/>
      <w:marBottom w:val="0pt"/>
      <w:divBdr>
        <w:top w:val="none" w:sz="0" w:space="0" w:color="auto"/>
        <w:left w:val="none" w:sz="0" w:space="0" w:color="auto"/>
        <w:bottom w:val="none" w:sz="0" w:space="0" w:color="auto"/>
        <w:right w:val="none" w:sz="0" w:space="0" w:color="auto"/>
      </w:divBdr>
    </w:div>
    <w:div w:id="1715078546">
      <w:bodyDiv w:val="1"/>
      <w:marLeft w:val="0pt"/>
      <w:marRight w:val="0pt"/>
      <w:marTop w:val="0pt"/>
      <w:marBottom w:val="0pt"/>
      <w:divBdr>
        <w:top w:val="none" w:sz="0" w:space="0" w:color="auto"/>
        <w:left w:val="none" w:sz="0" w:space="0" w:color="auto"/>
        <w:bottom w:val="none" w:sz="0" w:space="0" w:color="auto"/>
        <w:right w:val="none" w:sz="0" w:space="0" w:color="auto"/>
      </w:divBdr>
    </w:div>
    <w:div w:id="1718238243">
      <w:bodyDiv w:val="1"/>
      <w:marLeft w:val="0pt"/>
      <w:marRight w:val="0pt"/>
      <w:marTop w:val="0pt"/>
      <w:marBottom w:val="0pt"/>
      <w:divBdr>
        <w:top w:val="none" w:sz="0" w:space="0" w:color="auto"/>
        <w:left w:val="none" w:sz="0" w:space="0" w:color="auto"/>
        <w:bottom w:val="none" w:sz="0" w:space="0" w:color="auto"/>
        <w:right w:val="none" w:sz="0" w:space="0" w:color="auto"/>
      </w:divBdr>
    </w:div>
    <w:div w:id="1724980370">
      <w:bodyDiv w:val="1"/>
      <w:marLeft w:val="0pt"/>
      <w:marRight w:val="0pt"/>
      <w:marTop w:val="0pt"/>
      <w:marBottom w:val="0pt"/>
      <w:divBdr>
        <w:top w:val="none" w:sz="0" w:space="0" w:color="auto"/>
        <w:left w:val="none" w:sz="0" w:space="0" w:color="auto"/>
        <w:bottom w:val="none" w:sz="0" w:space="0" w:color="auto"/>
        <w:right w:val="none" w:sz="0" w:space="0" w:color="auto"/>
      </w:divBdr>
    </w:div>
    <w:div w:id="1738285847">
      <w:bodyDiv w:val="1"/>
      <w:marLeft w:val="0pt"/>
      <w:marRight w:val="0pt"/>
      <w:marTop w:val="0pt"/>
      <w:marBottom w:val="0pt"/>
      <w:divBdr>
        <w:top w:val="none" w:sz="0" w:space="0" w:color="auto"/>
        <w:left w:val="none" w:sz="0" w:space="0" w:color="auto"/>
        <w:bottom w:val="none" w:sz="0" w:space="0" w:color="auto"/>
        <w:right w:val="none" w:sz="0" w:space="0" w:color="auto"/>
      </w:divBdr>
    </w:div>
    <w:div w:id="1741514726">
      <w:bodyDiv w:val="1"/>
      <w:marLeft w:val="0pt"/>
      <w:marRight w:val="0pt"/>
      <w:marTop w:val="0pt"/>
      <w:marBottom w:val="0pt"/>
      <w:divBdr>
        <w:top w:val="none" w:sz="0" w:space="0" w:color="auto"/>
        <w:left w:val="none" w:sz="0" w:space="0" w:color="auto"/>
        <w:bottom w:val="none" w:sz="0" w:space="0" w:color="auto"/>
        <w:right w:val="none" w:sz="0" w:space="0" w:color="auto"/>
      </w:divBdr>
    </w:div>
    <w:div w:id="1758670293">
      <w:bodyDiv w:val="1"/>
      <w:marLeft w:val="0pt"/>
      <w:marRight w:val="0pt"/>
      <w:marTop w:val="0pt"/>
      <w:marBottom w:val="0pt"/>
      <w:divBdr>
        <w:top w:val="none" w:sz="0" w:space="0" w:color="auto"/>
        <w:left w:val="none" w:sz="0" w:space="0" w:color="auto"/>
        <w:bottom w:val="none" w:sz="0" w:space="0" w:color="auto"/>
        <w:right w:val="none" w:sz="0" w:space="0" w:color="auto"/>
      </w:divBdr>
    </w:div>
    <w:div w:id="1773279273">
      <w:bodyDiv w:val="1"/>
      <w:marLeft w:val="0pt"/>
      <w:marRight w:val="0pt"/>
      <w:marTop w:val="0pt"/>
      <w:marBottom w:val="0pt"/>
      <w:divBdr>
        <w:top w:val="none" w:sz="0" w:space="0" w:color="auto"/>
        <w:left w:val="none" w:sz="0" w:space="0" w:color="auto"/>
        <w:bottom w:val="none" w:sz="0" w:space="0" w:color="auto"/>
        <w:right w:val="none" w:sz="0" w:space="0" w:color="auto"/>
      </w:divBdr>
    </w:div>
    <w:div w:id="1774204467">
      <w:bodyDiv w:val="1"/>
      <w:marLeft w:val="0pt"/>
      <w:marRight w:val="0pt"/>
      <w:marTop w:val="0pt"/>
      <w:marBottom w:val="0pt"/>
      <w:divBdr>
        <w:top w:val="none" w:sz="0" w:space="0" w:color="auto"/>
        <w:left w:val="none" w:sz="0" w:space="0" w:color="auto"/>
        <w:bottom w:val="none" w:sz="0" w:space="0" w:color="auto"/>
        <w:right w:val="none" w:sz="0" w:space="0" w:color="auto"/>
      </w:divBdr>
    </w:div>
    <w:div w:id="1807501731">
      <w:bodyDiv w:val="1"/>
      <w:marLeft w:val="0pt"/>
      <w:marRight w:val="0pt"/>
      <w:marTop w:val="0pt"/>
      <w:marBottom w:val="0pt"/>
      <w:divBdr>
        <w:top w:val="none" w:sz="0" w:space="0" w:color="auto"/>
        <w:left w:val="none" w:sz="0" w:space="0" w:color="auto"/>
        <w:bottom w:val="none" w:sz="0" w:space="0" w:color="auto"/>
        <w:right w:val="none" w:sz="0" w:space="0" w:color="auto"/>
      </w:divBdr>
    </w:div>
    <w:div w:id="1832719091">
      <w:bodyDiv w:val="1"/>
      <w:marLeft w:val="0pt"/>
      <w:marRight w:val="0pt"/>
      <w:marTop w:val="0pt"/>
      <w:marBottom w:val="0pt"/>
      <w:divBdr>
        <w:top w:val="none" w:sz="0" w:space="0" w:color="auto"/>
        <w:left w:val="none" w:sz="0" w:space="0" w:color="auto"/>
        <w:bottom w:val="none" w:sz="0" w:space="0" w:color="auto"/>
        <w:right w:val="none" w:sz="0" w:space="0" w:color="auto"/>
      </w:divBdr>
    </w:div>
    <w:div w:id="1833839191">
      <w:bodyDiv w:val="1"/>
      <w:marLeft w:val="0pt"/>
      <w:marRight w:val="0pt"/>
      <w:marTop w:val="0pt"/>
      <w:marBottom w:val="0pt"/>
      <w:divBdr>
        <w:top w:val="none" w:sz="0" w:space="0" w:color="auto"/>
        <w:left w:val="none" w:sz="0" w:space="0" w:color="auto"/>
        <w:bottom w:val="none" w:sz="0" w:space="0" w:color="auto"/>
        <w:right w:val="none" w:sz="0" w:space="0" w:color="auto"/>
      </w:divBdr>
    </w:div>
    <w:div w:id="1838956355">
      <w:bodyDiv w:val="1"/>
      <w:marLeft w:val="0pt"/>
      <w:marRight w:val="0pt"/>
      <w:marTop w:val="0pt"/>
      <w:marBottom w:val="0pt"/>
      <w:divBdr>
        <w:top w:val="none" w:sz="0" w:space="0" w:color="auto"/>
        <w:left w:val="none" w:sz="0" w:space="0" w:color="auto"/>
        <w:bottom w:val="none" w:sz="0" w:space="0" w:color="auto"/>
        <w:right w:val="none" w:sz="0" w:space="0" w:color="auto"/>
      </w:divBdr>
    </w:div>
    <w:div w:id="1841503884">
      <w:bodyDiv w:val="1"/>
      <w:marLeft w:val="0pt"/>
      <w:marRight w:val="0pt"/>
      <w:marTop w:val="0pt"/>
      <w:marBottom w:val="0pt"/>
      <w:divBdr>
        <w:top w:val="none" w:sz="0" w:space="0" w:color="auto"/>
        <w:left w:val="none" w:sz="0" w:space="0" w:color="auto"/>
        <w:bottom w:val="none" w:sz="0" w:space="0" w:color="auto"/>
        <w:right w:val="none" w:sz="0" w:space="0" w:color="auto"/>
      </w:divBdr>
    </w:div>
    <w:div w:id="1841693061">
      <w:bodyDiv w:val="1"/>
      <w:marLeft w:val="0pt"/>
      <w:marRight w:val="0pt"/>
      <w:marTop w:val="0pt"/>
      <w:marBottom w:val="0pt"/>
      <w:divBdr>
        <w:top w:val="none" w:sz="0" w:space="0" w:color="auto"/>
        <w:left w:val="none" w:sz="0" w:space="0" w:color="auto"/>
        <w:bottom w:val="none" w:sz="0" w:space="0" w:color="auto"/>
        <w:right w:val="none" w:sz="0" w:space="0" w:color="auto"/>
      </w:divBdr>
    </w:div>
    <w:div w:id="1853227457">
      <w:bodyDiv w:val="1"/>
      <w:marLeft w:val="0pt"/>
      <w:marRight w:val="0pt"/>
      <w:marTop w:val="0pt"/>
      <w:marBottom w:val="0pt"/>
      <w:divBdr>
        <w:top w:val="none" w:sz="0" w:space="0" w:color="auto"/>
        <w:left w:val="none" w:sz="0" w:space="0" w:color="auto"/>
        <w:bottom w:val="none" w:sz="0" w:space="0" w:color="auto"/>
        <w:right w:val="none" w:sz="0" w:space="0" w:color="auto"/>
      </w:divBdr>
    </w:div>
    <w:div w:id="1853490861">
      <w:bodyDiv w:val="1"/>
      <w:marLeft w:val="0pt"/>
      <w:marRight w:val="0pt"/>
      <w:marTop w:val="0pt"/>
      <w:marBottom w:val="0pt"/>
      <w:divBdr>
        <w:top w:val="none" w:sz="0" w:space="0" w:color="auto"/>
        <w:left w:val="none" w:sz="0" w:space="0" w:color="auto"/>
        <w:bottom w:val="none" w:sz="0" w:space="0" w:color="auto"/>
        <w:right w:val="none" w:sz="0" w:space="0" w:color="auto"/>
      </w:divBdr>
    </w:div>
    <w:div w:id="1860467326">
      <w:bodyDiv w:val="1"/>
      <w:marLeft w:val="0pt"/>
      <w:marRight w:val="0pt"/>
      <w:marTop w:val="0pt"/>
      <w:marBottom w:val="0pt"/>
      <w:divBdr>
        <w:top w:val="none" w:sz="0" w:space="0" w:color="auto"/>
        <w:left w:val="none" w:sz="0" w:space="0" w:color="auto"/>
        <w:bottom w:val="none" w:sz="0" w:space="0" w:color="auto"/>
        <w:right w:val="none" w:sz="0" w:space="0" w:color="auto"/>
      </w:divBdr>
    </w:div>
    <w:div w:id="1864397861">
      <w:bodyDiv w:val="1"/>
      <w:marLeft w:val="0pt"/>
      <w:marRight w:val="0pt"/>
      <w:marTop w:val="0pt"/>
      <w:marBottom w:val="0pt"/>
      <w:divBdr>
        <w:top w:val="none" w:sz="0" w:space="0" w:color="auto"/>
        <w:left w:val="none" w:sz="0" w:space="0" w:color="auto"/>
        <w:bottom w:val="none" w:sz="0" w:space="0" w:color="auto"/>
        <w:right w:val="none" w:sz="0" w:space="0" w:color="auto"/>
      </w:divBdr>
    </w:div>
    <w:div w:id="1869484099">
      <w:bodyDiv w:val="1"/>
      <w:marLeft w:val="0pt"/>
      <w:marRight w:val="0pt"/>
      <w:marTop w:val="0pt"/>
      <w:marBottom w:val="0pt"/>
      <w:divBdr>
        <w:top w:val="none" w:sz="0" w:space="0" w:color="auto"/>
        <w:left w:val="none" w:sz="0" w:space="0" w:color="auto"/>
        <w:bottom w:val="none" w:sz="0" w:space="0" w:color="auto"/>
        <w:right w:val="none" w:sz="0" w:space="0" w:color="auto"/>
      </w:divBdr>
    </w:div>
    <w:div w:id="1890796902">
      <w:bodyDiv w:val="1"/>
      <w:marLeft w:val="0pt"/>
      <w:marRight w:val="0pt"/>
      <w:marTop w:val="0pt"/>
      <w:marBottom w:val="0pt"/>
      <w:divBdr>
        <w:top w:val="none" w:sz="0" w:space="0" w:color="auto"/>
        <w:left w:val="none" w:sz="0" w:space="0" w:color="auto"/>
        <w:bottom w:val="none" w:sz="0" w:space="0" w:color="auto"/>
        <w:right w:val="none" w:sz="0" w:space="0" w:color="auto"/>
      </w:divBdr>
    </w:div>
    <w:div w:id="1894656996">
      <w:bodyDiv w:val="1"/>
      <w:marLeft w:val="0pt"/>
      <w:marRight w:val="0pt"/>
      <w:marTop w:val="0pt"/>
      <w:marBottom w:val="0pt"/>
      <w:divBdr>
        <w:top w:val="none" w:sz="0" w:space="0" w:color="auto"/>
        <w:left w:val="none" w:sz="0" w:space="0" w:color="auto"/>
        <w:bottom w:val="none" w:sz="0" w:space="0" w:color="auto"/>
        <w:right w:val="none" w:sz="0" w:space="0" w:color="auto"/>
      </w:divBdr>
    </w:div>
    <w:div w:id="1895385666">
      <w:bodyDiv w:val="1"/>
      <w:marLeft w:val="0pt"/>
      <w:marRight w:val="0pt"/>
      <w:marTop w:val="0pt"/>
      <w:marBottom w:val="0pt"/>
      <w:divBdr>
        <w:top w:val="none" w:sz="0" w:space="0" w:color="auto"/>
        <w:left w:val="none" w:sz="0" w:space="0" w:color="auto"/>
        <w:bottom w:val="none" w:sz="0" w:space="0" w:color="auto"/>
        <w:right w:val="none" w:sz="0" w:space="0" w:color="auto"/>
      </w:divBdr>
    </w:div>
    <w:div w:id="1909920811">
      <w:bodyDiv w:val="1"/>
      <w:marLeft w:val="0pt"/>
      <w:marRight w:val="0pt"/>
      <w:marTop w:val="0pt"/>
      <w:marBottom w:val="0pt"/>
      <w:divBdr>
        <w:top w:val="none" w:sz="0" w:space="0" w:color="auto"/>
        <w:left w:val="none" w:sz="0" w:space="0" w:color="auto"/>
        <w:bottom w:val="none" w:sz="0" w:space="0" w:color="auto"/>
        <w:right w:val="none" w:sz="0" w:space="0" w:color="auto"/>
      </w:divBdr>
    </w:div>
    <w:div w:id="1938831207">
      <w:bodyDiv w:val="1"/>
      <w:marLeft w:val="0pt"/>
      <w:marRight w:val="0pt"/>
      <w:marTop w:val="0pt"/>
      <w:marBottom w:val="0pt"/>
      <w:divBdr>
        <w:top w:val="none" w:sz="0" w:space="0" w:color="auto"/>
        <w:left w:val="none" w:sz="0" w:space="0" w:color="auto"/>
        <w:bottom w:val="none" w:sz="0" w:space="0" w:color="auto"/>
        <w:right w:val="none" w:sz="0" w:space="0" w:color="auto"/>
      </w:divBdr>
    </w:div>
    <w:div w:id="1944192568">
      <w:bodyDiv w:val="1"/>
      <w:marLeft w:val="0pt"/>
      <w:marRight w:val="0pt"/>
      <w:marTop w:val="0pt"/>
      <w:marBottom w:val="0pt"/>
      <w:divBdr>
        <w:top w:val="none" w:sz="0" w:space="0" w:color="auto"/>
        <w:left w:val="none" w:sz="0" w:space="0" w:color="auto"/>
        <w:bottom w:val="none" w:sz="0" w:space="0" w:color="auto"/>
        <w:right w:val="none" w:sz="0" w:space="0" w:color="auto"/>
      </w:divBdr>
    </w:div>
    <w:div w:id="1966307453">
      <w:bodyDiv w:val="1"/>
      <w:marLeft w:val="0pt"/>
      <w:marRight w:val="0pt"/>
      <w:marTop w:val="0pt"/>
      <w:marBottom w:val="0pt"/>
      <w:divBdr>
        <w:top w:val="none" w:sz="0" w:space="0" w:color="auto"/>
        <w:left w:val="none" w:sz="0" w:space="0" w:color="auto"/>
        <w:bottom w:val="none" w:sz="0" w:space="0" w:color="auto"/>
        <w:right w:val="none" w:sz="0" w:space="0" w:color="auto"/>
      </w:divBdr>
    </w:div>
    <w:div w:id="1971208990">
      <w:bodyDiv w:val="1"/>
      <w:marLeft w:val="0pt"/>
      <w:marRight w:val="0pt"/>
      <w:marTop w:val="0pt"/>
      <w:marBottom w:val="0pt"/>
      <w:divBdr>
        <w:top w:val="none" w:sz="0" w:space="0" w:color="auto"/>
        <w:left w:val="none" w:sz="0" w:space="0" w:color="auto"/>
        <w:bottom w:val="none" w:sz="0" w:space="0" w:color="auto"/>
        <w:right w:val="none" w:sz="0" w:space="0" w:color="auto"/>
      </w:divBdr>
    </w:div>
    <w:div w:id="1979452001">
      <w:bodyDiv w:val="1"/>
      <w:marLeft w:val="0pt"/>
      <w:marRight w:val="0pt"/>
      <w:marTop w:val="0pt"/>
      <w:marBottom w:val="0pt"/>
      <w:divBdr>
        <w:top w:val="none" w:sz="0" w:space="0" w:color="auto"/>
        <w:left w:val="none" w:sz="0" w:space="0" w:color="auto"/>
        <w:bottom w:val="none" w:sz="0" w:space="0" w:color="auto"/>
        <w:right w:val="none" w:sz="0" w:space="0" w:color="auto"/>
      </w:divBdr>
    </w:div>
    <w:div w:id="1998148188">
      <w:bodyDiv w:val="1"/>
      <w:marLeft w:val="0pt"/>
      <w:marRight w:val="0pt"/>
      <w:marTop w:val="0pt"/>
      <w:marBottom w:val="0pt"/>
      <w:divBdr>
        <w:top w:val="none" w:sz="0" w:space="0" w:color="auto"/>
        <w:left w:val="none" w:sz="0" w:space="0" w:color="auto"/>
        <w:bottom w:val="none" w:sz="0" w:space="0" w:color="auto"/>
        <w:right w:val="none" w:sz="0" w:space="0" w:color="auto"/>
      </w:divBdr>
    </w:div>
    <w:div w:id="2001151623">
      <w:bodyDiv w:val="1"/>
      <w:marLeft w:val="0pt"/>
      <w:marRight w:val="0pt"/>
      <w:marTop w:val="0pt"/>
      <w:marBottom w:val="0pt"/>
      <w:divBdr>
        <w:top w:val="none" w:sz="0" w:space="0" w:color="auto"/>
        <w:left w:val="none" w:sz="0" w:space="0" w:color="auto"/>
        <w:bottom w:val="none" w:sz="0" w:space="0" w:color="auto"/>
        <w:right w:val="none" w:sz="0" w:space="0" w:color="auto"/>
      </w:divBdr>
    </w:div>
    <w:div w:id="2009404691">
      <w:bodyDiv w:val="1"/>
      <w:marLeft w:val="0pt"/>
      <w:marRight w:val="0pt"/>
      <w:marTop w:val="0pt"/>
      <w:marBottom w:val="0pt"/>
      <w:divBdr>
        <w:top w:val="none" w:sz="0" w:space="0" w:color="auto"/>
        <w:left w:val="none" w:sz="0" w:space="0" w:color="auto"/>
        <w:bottom w:val="none" w:sz="0" w:space="0" w:color="auto"/>
        <w:right w:val="none" w:sz="0" w:space="0" w:color="auto"/>
      </w:divBdr>
    </w:div>
    <w:div w:id="2010787372">
      <w:bodyDiv w:val="1"/>
      <w:marLeft w:val="0pt"/>
      <w:marRight w:val="0pt"/>
      <w:marTop w:val="0pt"/>
      <w:marBottom w:val="0pt"/>
      <w:divBdr>
        <w:top w:val="none" w:sz="0" w:space="0" w:color="auto"/>
        <w:left w:val="none" w:sz="0" w:space="0" w:color="auto"/>
        <w:bottom w:val="none" w:sz="0" w:space="0" w:color="auto"/>
        <w:right w:val="none" w:sz="0" w:space="0" w:color="auto"/>
      </w:divBdr>
    </w:div>
    <w:div w:id="2013726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16986988">
          <w:marLeft w:val="120.25pt"/>
          <w:marRight w:val="0pt"/>
          <w:marTop w:val="0pt"/>
          <w:marBottom w:val="0pt"/>
          <w:divBdr>
            <w:top w:val="none" w:sz="0" w:space="0" w:color="auto"/>
            <w:left w:val="none" w:sz="0" w:space="0" w:color="auto"/>
            <w:bottom w:val="none" w:sz="0" w:space="0" w:color="auto"/>
            <w:right w:val="none" w:sz="0" w:space="0" w:color="auto"/>
          </w:divBdr>
        </w:div>
      </w:divsChild>
    </w:div>
    <w:div w:id="2021158841">
      <w:bodyDiv w:val="1"/>
      <w:marLeft w:val="0pt"/>
      <w:marRight w:val="0pt"/>
      <w:marTop w:val="0pt"/>
      <w:marBottom w:val="0pt"/>
      <w:divBdr>
        <w:top w:val="none" w:sz="0" w:space="0" w:color="auto"/>
        <w:left w:val="none" w:sz="0" w:space="0" w:color="auto"/>
        <w:bottom w:val="none" w:sz="0" w:space="0" w:color="auto"/>
        <w:right w:val="none" w:sz="0" w:space="0" w:color="auto"/>
      </w:divBdr>
    </w:div>
    <w:div w:id="2036537114">
      <w:bodyDiv w:val="1"/>
      <w:marLeft w:val="0pt"/>
      <w:marRight w:val="0pt"/>
      <w:marTop w:val="0pt"/>
      <w:marBottom w:val="0pt"/>
      <w:divBdr>
        <w:top w:val="none" w:sz="0" w:space="0" w:color="auto"/>
        <w:left w:val="none" w:sz="0" w:space="0" w:color="auto"/>
        <w:bottom w:val="none" w:sz="0" w:space="0" w:color="auto"/>
        <w:right w:val="none" w:sz="0" w:space="0" w:color="auto"/>
      </w:divBdr>
    </w:div>
    <w:div w:id="2042432338">
      <w:bodyDiv w:val="1"/>
      <w:marLeft w:val="0pt"/>
      <w:marRight w:val="0pt"/>
      <w:marTop w:val="0pt"/>
      <w:marBottom w:val="0pt"/>
      <w:divBdr>
        <w:top w:val="none" w:sz="0" w:space="0" w:color="auto"/>
        <w:left w:val="none" w:sz="0" w:space="0" w:color="auto"/>
        <w:bottom w:val="none" w:sz="0" w:space="0" w:color="auto"/>
        <w:right w:val="none" w:sz="0" w:space="0" w:color="auto"/>
      </w:divBdr>
    </w:div>
    <w:div w:id="2050449017">
      <w:bodyDiv w:val="1"/>
      <w:marLeft w:val="0pt"/>
      <w:marRight w:val="0pt"/>
      <w:marTop w:val="0pt"/>
      <w:marBottom w:val="0pt"/>
      <w:divBdr>
        <w:top w:val="none" w:sz="0" w:space="0" w:color="auto"/>
        <w:left w:val="none" w:sz="0" w:space="0" w:color="auto"/>
        <w:bottom w:val="none" w:sz="0" w:space="0" w:color="auto"/>
        <w:right w:val="none" w:sz="0" w:space="0" w:color="auto"/>
      </w:divBdr>
    </w:div>
    <w:div w:id="2061443838">
      <w:bodyDiv w:val="1"/>
      <w:marLeft w:val="0pt"/>
      <w:marRight w:val="0pt"/>
      <w:marTop w:val="0pt"/>
      <w:marBottom w:val="0pt"/>
      <w:divBdr>
        <w:top w:val="none" w:sz="0" w:space="0" w:color="auto"/>
        <w:left w:val="none" w:sz="0" w:space="0" w:color="auto"/>
        <w:bottom w:val="none" w:sz="0" w:space="0" w:color="auto"/>
        <w:right w:val="none" w:sz="0" w:space="0" w:color="auto"/>
      </w:divBdr>
    </w:div>
    <w:div w:id="2063166485">
      <w:bodyDiv w:val="1"/>
      <w:marLeft w:val="0pt"/>
      <w:marRight w:val="0pt"/>
      <w:marTop w:val="0pt"/>
      <w:marBottom w:val="0pt"/>
      <w:divBdr>
        <w:top w:val="none" w:sz="0" w:space="0" w:color="auto"/>
        <w:left w:val="none" w:sz="0" w:space="0" w:color="auto"/>
        <w:bottom w:val="none" w:sz="0" w:space="0" w:color="auto"/>
        <w:right w:val="none" w:sz="0" w:space="0" w:color="auto"/>
      </w:divBdr>
    </w:div>
    <w:div w:id="206355084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7979783">
          <w:marLeft w:val="0pt"/>
          <w:marRight w:val="0pt"/>
          <w:marTop w:val="0pt"/>
          <w:marBottom w:val="0pt"/>
          <w:divBdr>
            <w:top w:val="none" w:sz="0" w:space="0" w:color="auto"/>
            <w:left w:val="none" w:sz="0" w:space="0" w:color="auto"/>
            <w:bottom w:val="none" w:sz="0" w:space="0" w:color="auto"/>
            <w:right w:val="none" w:sz="0" w:space="0" w:color="auto"/>
          </w:divBdr>
          <w:divsChild>
            <w:div w:id="1006977133">
              <w:marLeft w:val="0pt"/>
              <w:marRight w:val="0pt"/>
              <w:marTop w:val="0pt"/>
              <w:marBottom w:val="0pt"/>
              <w:divBdr>
                <w:top w:val="none" w:sz="0" w:space="0" w:color="auto"/>
                <w:left w:val="none" w:sz="0" w:space="0" w:color="auto"/>
                <w:bottom w:val="none" w:sz="0" w:space="0" w:color="auto"/>
                <w:right w:val="none" w:sz="0" w:space="0" w:color="auto"/>
              </w:divBdr>
              <w:divsChild>
                <w:div w:id="1502503644">
                  <w:marLeft w:val="0pt"/>
                  <w:marRight w:val="3.75pt"/>
                  <w:marTop w:val="0pt"/>
                  <w:marBottom w:val="0pt"/>
                  <w:divBdr>
                    <w:top w:val="none" w:sz="0" w:space="0" w:color="auto"/>
                    <w:left w:val="none" w:sz="0" w:space="0" w:color="auto"/>
                    <w:bottom w:val="none" w:sz="0" w:space="0" w:color="auto"/>
                    <w:right w:val="none" w:sz="0" w:space="0" w:color="auto"/>
                  </w:divBdr>
                </w:div>
                <w:div w:id="1709916153">
                  <w:marLeft w:val="0pt"/>
                  <w:marRight w:val="0pt"/>
                  <w:marTop w:val="0pt"/>
                  <w:marBottom w:val="0pt"/>
                  <w:divBdr>
                    <w:top w:val="none" w:sz="0" w:space="0" w:color="auto"/>
                    <w:left w:val="none" w:sz="0" w:space="0" w:color="auto"/>
                    <w:bottom w:val="none" w:sz="0" w:space="0" w:color="auto"/>
                    <w:right w:val="none" w:sz="0" w:space="0" w:color="auto"/>
                  </w:divBdr>
                  <w:divsChild>
                    <w:div w:id="192630608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2069838057">
      <w:bodyDiv w:val="1"/>
      <w:marLeft w:val="0pt"/>
      <w:marRight w:val="0pt"/>
      <w:marTop w:val="0pt"/>
      <w:marBottom w:val="0pt"/>
      <w:divBdr>
        <w:top w:val="none" w:sz="0" w:space="0" w:color="auto"/>
        <w:left w:val="none" w:sz="0" w:space="0" w:color="auto"/>
        <w:bottom w:val="none" w:sz="0" w:space="0" w:color="auto"/>
        <w:right w:val="none" w:sz="0" w:space="0" w:color="auto"/>
      </w:divBdr>
    </w:div>
    <w:div w:id="2090808916">
      <w:bodyDiv w:val="1"/>
      <w:marLeft w:val="0pt"/>
      <w:marRight w:val="0pt"/>
      <w:marTop w:val="0pt"/>
      <w:marBottom w:val="0pt"/>
      <w:divBdr>
        <w:top w:val="none" w:sz="0" w:space="0" w:color="auto"/>
        <w:left w:val="none" w:sz="0" w:space="0" w:color="auto"/>
        <w:bottom w:val="none" w:sz="0" w:space="0" w:color="auto"/>
        <w:right w:val="none" w:sz="0" w:space="0" w:color="auto"/>
      </w:divBdr>
    </w:div>
    <w:div w:id="2106461137">
      <w:bodyDiv w:val="1"/>
      <w:marLeft w:val="0pt"/>
      <w:marRight w:val="0pt"/>
      <w:marTop w:val="0pt"/>
      <w:marBottom w:val="0pt"/>
      <w:divBdr>
        <w:top w:val="none" w:sz="0" w:space="0" w:color="auto"/>
        <w:left w:val="none" w:sz="0" w:space="0" w:color="auto"/>
        <w:bottom w:val="none" w:sz="0" w:space="0" w:color="auto"/>
        <w:right w:val="none" w:sz="0" w:space="0" w:color="auto"/>
      </w:divBdr>
    </w:div>
    <w:div w:id="2114395630">
      <w:bodyDiv w:val="1"/>
      <w:marLeft w:val="0pt"/>
      <w:marRight w:val="0pt"/>
      <w:marTop w:val="0pt"/>
      <w:marBottom w:val="0pt"/>
      <w:divBdr>
        <w:top w:val="none" w:sz="0" w:space="0" w:color="auto"/>
        <w:left w:val="none" w:sz="0" w:space="0" w:color="auto"/>
        <w:bottom w:val="none" w:sz="0" w:space="0" w:color="auto"/>
        <w:right w:val="none" w:sz="0" w:space="0" w:color="auto"/>
      </w:divBdr>
    </w:div>
    <w:div w:id="213937605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image" Target="media/image3.png"/><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image" Target="media/image5.png"/><Relationship Id="rId4" Type="http://purl.oclc.org/ooxml/officeDocument/relationships/settings" Target="settings.xml"/><Relationship Id="rId9" Type="http://purl.oclc.org/ooxml/officeDocument/relationships/image" Target="media/image4.png"/></Relationships>
</file>

<file path=word/_rels/numbering.xml.rels><?xml version="1.0" encoding="UTF-8" standalone="yes"?>
<Relationships xmlns="http://schemas.openxmlformats.org/package/2006/relationships"><Relationship Id="rId2" Type="http://purl.oclc.org/ooxml/officeDocument/relationships/image" Target="media/image2.png"/><Relationship Id="rId1" Type="http://purl.oclc.org/ooxml/officeDocument/relationships/image" Target="media/image1.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8A484991-6E63-4545-B2E4-8ED3A28F9D7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34</TotalTime>
  <Pages>6</Pages>
  <Words>1576</Words>
  <Characters>8985</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10540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Milos Tesanovic/5G Standards (CRT) /SRUK/Staff Engineer/Samsung Electronics</cp:lastModifiedBy>
  <cp:revision>11</cp:revision>
  <cp:lastPrinted>2016-09-27T13:51:00Z</cp:lastPrinted>
  <dcterms:created xsi:type="dcterms:W3CDTF">2023-02-14T11:24:00Z</dcterms:created>
  <dcterms:modified xsi:type="dcterms:W3CDTF">2023-02-16T23:50:00Z</dcterms:modified>
</cp:coreProperties>
</file>

<file path=docProps/custom.xml><?xml version="1.0" encoding="utf-8"?>
<Properties xmlns="http://purl.oclc.org/ooxml/officeDocument/customProperties" xmlns:vt="http://purl.oclc.org/ooxml/officeDocument/docPropsVTypes">
  <property fmtid="{5C58129F-E5B8-477A-9B38-B3E54BFA04C8}" pid="2">
    <vt:blob>PE5TQ1BIPgAAAEMAOQAyADgAOQA1AEQANgBCADgAMABGADcAQgAwAEIAOABDADkAMABDADUAMQAy
ADkAQgA4ADEANAA0ADQAMgBEAEEANAAyADMAQQA4AEQANABDADcAOQBBADQARgBEADMAOQA5ADQA
MwBEADgAMAAxAEMARQA0ADgANgBGAEYAAAA=</vt:blob>
  </property>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(3)fD+zUKX/Rs9daywVNSiZ7WuJOy9jJWss0V1WRoTz18kRj4dUZxSsVsFvpeXsAYwWqI/LJ+WE_x000d_
KEUoyoaXuv/r6u1YB1NeRszfrsyKS6fHb205IUzbGtE9cDmyS91lkbW++7FXszwRRO/sDL9w_x000d_
FB6BnznGvTzd5y4rjvNP0i2oIM6jGRoOzi9Ja5AtdSLBArtpfY/5xND5VWyLTVlMq4LB3/9V_x000d_
sVw2NXAuRm9QYDvyWq</vt:lpwstr>
  </property>
  <property fmtid="{D5CDD505-2E9C-101B-9397-08002B2CF9AE}" pid="17" name="_2015_ms_pID_725343_00">
    <vt:lpwstr>_2015_ms_pID_725343</vt:lpwstr>
  </property>
  <property fmtid="{D5CDD505-2E9C-101B-9397-08002B2CF9AE}" pid="18" name="_2015_ms_pID_7253431">
    <vt:lpwstr>zwkjN9VvanrdcALPvq9ntLC1YMyuXRxajNyt0YNHyFan0ftUHiOSIC_x000d_
a/vsVdcivyVsQU5TcYDZGJDLDFxwz+C5r+v9PxwYeXvqY5FehQLgDS1pBvPcRLfDUMxBrVKo_x000d_
0Ldk+IeEbSHaQ5z5klfzxs6hRRDIMoOvTMH/0ycnM8LJ6AeeRFUNVpIrqBtDadf5waVenPKS_x000d_
KWeWV1dEB04pb+Ammf/tSYXhHBZfobxeRm1L</vt:lpwstr>
  </property>
  <property fmtid="{D5CDD505-2E9C-101B-9397-08002B2CF9AE}" pid="19" name="_2015_ms_pID_7253431_00">
    <vt:lpwstr>_2015_ms_pID_7253431</vt:lpwstr>
  </property>
  <property fmtid="{D5CDD505-2E9C-101B-9397-08002B2CF9AE}" pid="20" name="_2015_ms_pID_7253432">
    <vt:lpwstr>usUsxMC/mlwGOgqSuSv8ARBg+CC+K5Quy3xc_x000d_
kUUUBvuFl0+Zq7m2uz8R7phsi/vyLIG23XG2oMriRnl4MnIdgtA=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1470733840</vt:lpwstr>
  </property>
  <property fmtid="{D5CDD505-2E9C-101B-9397-08002B2CF9AE}" pid="26" name="TitusGUID">
    <vt:lpwstr>eda4bce2-0527-40e2-ad3a-edae761eeeac</vt:lpwstr>
  </property>
  <property fmtid="{D5CDD505-2E9C-101B-9397-08002B2CF9AE}" pid="27" name="CTPClassification">
    <vt:lpwstr>CTP_NT</vt:lpwstr>
  </property>
</Properties>
</file>